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171" w:type="dxa"/>
        <w:tblInd w:w="-567" w:type="dxa"/>
        <w:tblLook w:val="04A0" w:firstRow="1" w:lastRow="0" w:firstColumn="1" w:lastColumn="0" w:noHBand="0" w:noVBand="1"/>
      </w:tblPr>
      <w:tblGrid>
        <w:gridCol w:w="2835"/>
        <w:gridCol w:w="3969"/>
        <w:gridCol w:w="4111"/>
        <w:gridCol w:w="4256"/>
      </w:tblGrid>
      <w:tr w:rsidR="00615378" w:rsidRPr="00436174" w14:paraId="416BCE3C" w14:textId="77777777" w:rsidTr="005E618C">
        <w:tc>
          <w:tcPr>
            <w:tcW w:w="2835" w:type="dxa"/>
            <w:tcBorders>
              <w:top w:val="nil"/>
              <w:left w:val="nil"/>
            </w:tcBorders>
          </w:tcPr>
          <w:p w14:paraId="33B49334" w14:textId="4D18378F" w:rsidR="00FB5ED1" w:rsidRPr="0048216F" w:rsidRDefault="00FB5ED1" w:rsidP="002F2FFE">
            <w:pPr>
              <w:spacing w:before="25" w:after="25"/>
              <w:rPr>
                <w:sz w:val="15"/>
                <w:szCs w:val="15"/>
                <w:highlight w:val="yellow"/>
              </w:rPr>
            </w:pPr>
          </w:p>
        </w:tc>
        <w:tc>
          <w:tcPr>
            <w:tcW w:w="3969" w:type="dxa"/>
            <w:shd w:val="clear" w:color="auto" w:fill="70AD47" w:themeFill="accent6"/>
          </w:tcPr>
          <w:p w14:paraId="3EF6A3CE" w14:textId="77777777" w:rsidR="00D96627" w:rsidRPr="0048216F" w:rsidRDefault="00D96627" w:rsidP="004613EE">
            <w:pPr>
              <w:spacing w:before="25" w:after="25"/>
              <w:rPr>
                <w:rFonts w:cstheme="minorHAnsi"/>
                <w:b/>
                <w:bCs/>
                <w:sz w:val="15"/>
                <w:szCs w:val="15"/>
              </w:rPr>
            </w:pPr>
            <w:r w:rsidRPr="0048216F">
              <w:rPr>
                <w:rFonts w:cstheme="minorHAnsi"/>
                <w:b/>
                <w:bCs/>
                <w:sz w:val="15"/>
                <w:szCs w:val="15"/>
              </w:rPr>
              <w:t>Green</w:t>
            </w:r>
          </w:p>
          <w:p w14:paraId="318005D0" w14:textId="2E3170F0" w:rsidR="00297646" w:rsidRPr="0048216F" w:rsidRDefault="001E2AF8" w:rsidP="004613EE">
            <w:pPr>
              <w:spacing w:before="25" w:after="25"/>
              <w:rPr>
                <w:rFonts w:cstheme="minorHAnsi"/>
                <w:sz w:val="15"/>
                <w:szCs w:val="15"/>
              </w:rPr>
            </w:pPr>
            <w:r>
              <w:rPr>
                <w:rFonts w:cstheme="minorHAnsi"/>
                <w:sz w:val="15"/>
                <w:szCs w:val="15"/>
              </w:rPr>
              <w:t xml:space="preserve">Tertiary education operates normally – public health measures are encouraged. </w:t>
            </w:r>
            <w:r w:rsidR="00D96627" w:rsidRPr="00D248A4">
              <w:rPr>
                <w:rFonts w:cstheme="minorHAnsi"/>
                <w:sz w:val="15"/>
                <w:szCs w:val="15"/>
              </w:rPr>
              <w:t>Limited community transmission. COVID-19 hospitalisations are at a manageable level. Whole of health system is ready to respond</w:t>
            </w:r>
            <w:r w:rsidR="00D96627">
              <w:rPr>
                <w:rFonts w:cstheme="minorHAnsi"/>
                <w:sz w:val="15"/>
                <w:szCs w:val="15"/>
              </w:rPr>
              <w:t>.</w:t>
            </w:r>
          </w:p>
        </w:tc>
        <w:tc>
          <w:tcPr>
            <w:tcW w:w="4111" w:type="dxa"/>
            <w:shd w:val="clear" w:color="auto" w:fill="ED7D31" w:themeFill="accent2"/>
          </w:tcPr>
          <w:p w14:paraId="4FAF8AAA" w14:textId="77777777" w:rsidR="00846B0D" w:rsidRPr="0048216F" w:rsidRDefault="00846B0D" w:rsidP="004613EE">
            <w:pPr>
              <w:spacing w:before="25" w:after="25"/>
              <w:rPr>
                <w:rFonts w:cstheme="minorHAnsi"/>
                <w:b/>
                <w:bCs/>
                <w:sz w:val="15"/>
                <w:szCs w:val="15"/>
                <w:shd w:val="clear" w:color="auto" w:fill="ED7D31" w:themeFill="accent2"/>
              </w:rPr>
            </w:pPr>
            <w:r w:rsidRPr="0048216F">
              <w:rPr>
                <w:rFonts w:cstheme="minorHAnsi"/>
                <w:b/>
                <w:bCs/>
                <w:sz w:val="15"/>
                <w:szCs w:val="15"/>
              </w:rPr>
              <w:t>O</w:t>
            </w:r>
            <w:r w:rsidRPr="0048216F">
              <w:rPr>
                <w:rFonts w:cstheme="minorHAnsi"/>
                <w:b/>
                <w:bCs/>
                <w:sz w:val="15"/>
                <w:szCs w:val="15"/>
                <w:shd w:val="clear" w:color="auto" w:fill="ED7D31" w:themeFill="accent2"/>
              </w:rPr>
              <w:t>range</w:t>
            </w:r>
          </w:p>
          <w:p w14:paraId="176BC0D3" w14:textId="6394DB60" w:rsidR="00FB5ED1" w:rsidRPr="0048216F" w:rsidRDefault="00A316FC" w:rsidP="004613EE">
            <w:pPr>
              <w:spacing w:before="25" w:after="25"/>
              <w:rPr>
                <w:rFonts w:cstheme="minorHAnsi"/>
                <w:sz w:val="15"/>
                <w:szCs w:val="15"/>
              </w:rPr>
            </w:pPr>
            <w:r>
              <w:rPr>
                <w:rFonts w:cstheme="minorHAnsi"/>
                <w:sz w:val="15"/>
                <w:szCs w:val="15"/>
              </w:rPr>
              <w:t xml:space="preserve">Tertiary education operates </w:t>
            </w:r>
            <w:r w:rsidR="00510984">
              <w:rPr>
                <w:rFonts w:cstheme="minorHAnsi"/>
                <w:sz w:val="15"/>
                <w:szCs w:val="15"/>
              </w:rPr>
              <w:t xml:space="preserve">normally – public health measures are strongly </w:t>
            </w:r>
            <w:r w:rsidR="00100261">
              <w:rPr>
                <w:rFonts w:cstheme="minorHAnsi"/>
                <w:sz w:val="15"/>
                <w:szCs w:val="15"/>
              </w:rPr>
              <w:t>recommended</w:t>
            </w:r>
            <w:r>
              <w:rPr>
                <w:rFonts w:cstheme="minorHAnsi"/>
                <w:sz w:val="15"/>
                <w:szCs w:val="15"/>
              </w:rPr>
              <w:t xml:space="preserve">. </w:t>
            </w:r>
            <w:r w:rsidR="000B0B28">
              <w:rPr>
                <w:rFonts w:cstheme="minorHAnsi"/>
                <w:sz w:val="15"/>
                <w:szCs w:val="15"/>
              </w:rPr>
              <w:t>C</w:t>
            </w:r>
            <w:r w:rsidR="00846B0D" w:rsidRPr="00A5644A">
              <w:rPr>
                <w:rFonts w:cstheme="minorHAnsi"/>
                <w:sz w:val="15"/>
                <w:szCs w:val="15"/>
              </w:rPr>
              <w:t xml:space="preserve">ommunity transmission with </w:t>
            </w:r>
            <w:r>
              <w:rPr>
                <w:rFonts w:cstheme="minorHAnsi"/>
                <w:sz w:val="15"/>
                <w:szCs w:val="15"/>
              </w:rPr>
              <w:t>i</w:t>
            </w:r>
            <w:r w:rsidRPr="00A5644A">
              <w:rPr>
                <w:rFonts w:cstheme="minorHAnsi"/>
                <w:sz w:val="15"/>
                <w:szCs w:val="15"/>
              </w:rPr>
              <w:t xml:space="preserve">ncreasing risk to </w:t>
            </w:r>
            <w:r>
              <w:rPr>
                <w:rFonts w:cstheme="minorHAnsi"/>
                <w:sz w:val="15"/>
                <w:szCs w:val="15"/>
              </w:rPr>
              <w:t xml:space="preserve">vulnerably </w:t>
            </w:r>
            <w:r w:rsidRPr="00A5644A">
              <w:rPr>
                <w:rFonts w:cstheme="minorHAnsi"/>
                <w:sz w:val="15"/>
                <w:szCs w:val="15"/>
              </w:rPr>
              <w:t xml:space="preserve">populations </w:t>
            </w:r>
            <w:r>
              <w:rPr>
                <w:rFonts w:cstheme="minorHAnsi"/>
                <w:sz w:val="15"/>
                <w:szCs w:val="15"/>
              </w:rPr>
              <w:t xml:space="preserve">and </w:t>
            </w:r>
            <w:r w:rsidR="00846B0D" w:rsidRPr="00A5644A">
              <w:rPr>
                <w:rFonts w:cstheme="minorHAnsi"/>
                <w:sz w:val="15"/>
                <w:szCs w:val="15"/>
              </w:rPr>
              <w:t xml:space="preserve">pressure on health system. </w:t>
            </w:r>
          </w:p>
        </w:tc>
        <w:tc>
          <w:tcPr>
            <w:tcW w:w="4256" w:type="dxa"/>
            <w:shd w:val="clear" w:color="auto" w:fill="FF0000"/>
          </w:tcPr>
          <w:p w14:paraId="1E023FBC" w14:textId="77777777" w:rsidR="00D81680" w:rsidRPr="004613EE" w:rsidRDefault="00D81680" w:rsidP="004613EE">
            <w:pPr>
              <w:spacing w:before="25" w:after="25"/>
              <w:rPr>
                <w:rFonts w:cstheme="minorHAnsi"/>
                <w:b/>
                <w:bCs/>
                <w:sz w:val="15"/>
                <w:szCs w:val="15"/>
              </w:rPr>
            </w:pPr>
            <w:r w:rsidRPr="004613EE">
              <w:rPr>
                <w:rFonts w:cstheme="minorHAnsi"/>
                <w:b/>
                <w:bCs/>
                <w:sz w:val="15"/>
                <w:szCs w:val="15"/>
              </w:rPr>
              <w:t>Red</w:t>
            </w:r>
          </w:p>
          <w:p w14:paraId="5753C971" w14:textId="23ADC00C" w:rsidR="00D81680" w:rsidRPr="001C18E0" w:rsidRDefault="00A316FC" w:rsidP="004613EE">
            <w:pPr>
              <w:spacing w:before="25" w:after="25"/>
              <w:rPr>
                <w:rFonts w:cstheme="minorHAnsi"/>
                <w:sz w:val="15"/>
                <w:szCs w:val="15"/>
              </w:rPr>
            </w:pPr>
            <w:r w:rsidRPr="004613EE">
              <w:rPr>
                <w:rFonts w:cstheme="minorHAnsi"/>
                <w:sz w:val="15"/>
                <w:szCs w:val="15"/>
              </w:rPr>
              <w:t>Tertiary education operates with public health measures</w:t>
            </w:r>
            <w:r w:rsidR="00095A2F" w:rsidRPr="004613EE">
              <w:rPr>
                <w:rFonts w:cstheme="minorHAnsi"/>
                <w:sz w:val="15"/>
                <w:szCs w:val="15"/>
              </w:rPr>
              <w:t xml:space="preserve"> in place</w:t>
            </w:r>
            <w:r w:rsidRPr="004613EE">
              <w:rPr>
                <w:rFonts w:cstheme="minorHAnsi"/>
                <w:sz w:val="15"/>
                <w:szCs w:val="15"/>
              </w:rPr>
              <w:t xml:space="preserve">. </w:t>
            </w:r>
            <w:r w:rsidR="00D81680" w:rsidRPr="004613EE">
              <w:rPr>
                <w:rFonts w:cstheme="minorHAnsi"/>
                <w:sz w:val="15"/>
                <w:szCs w:val="15"/>
              </w:rPr>
              <w:t xml:space="preserve">Action needed to protect </w:t>
            </w:r>
            <w:r w:rsidRPr="004613EE">
              <w:rPr>
                <w:rFonts w:cstheme="minorHAnsi"/>
                <w:sz w:val="15"/>
                <w:szCs w:val="15"/>
              </w:rPr>
              <w:t>at-risk populations</w:t>
            </w:r>
            <w:r w:rsidR="0043653D" w:rsidRPr="004613EE">
              <w:rPr>
                <w:rFonts w:cstheme="minorHAnsi"/>
                <w:sz w:val="15"/>
                <w:szCs w:val="15"/>
              </w:rPr>
              <w:t>.</w:t>
            </w:r>
            <w:r w:rsidRPr="004613EE">
              <w:rPr>
                <w:rFonts w:cstheme="minorHAnsi"/>
                <w:sz w:val="15"/>
                <w:szCs w:val="15"/>
              </w:rPr>
              <w:t xml:space="preserve"> </w:t>
            </w:r>
            <w:r w:rsidR="0043653D" w:rsidRPr="004613EE">
              <w:rPr>
                <w:rFonts w:cstheme="minorHAnsi"/>
                <w:sz w:val="15"/>
                <w:szCs w:val="15"/>
              </w:rPr>
              <w:t>H</w:t>
            </w:r>
            <w:r w:rsidR="00D81680" w:rsidRPr="004613EE">
              <w:rPr>
                <w:rFonts w:cstheme="minorHAnsi"/>
                <w:sz w:val="15"/>
                <w:szCs w:val="15"/>
              </w:rPr>
              <w:t>ealth</w:t>
            </w:r>
            <w:r w:rsidR="00A9587A" w:rsidRPr="004613EE">
              <w:rPr>
                <w:rFonts w:cstheme="minorHAnsi"/>
                <w:sz w:val="15"/>
                <w:szCs w:val="15"/>
              </w:rPr>
              <w:t xml:space="preserve"> </w:t>
            </w:r>
            <w:r w:rsidR="00D81680" w:rsidRPr="004613EE">
              <w:rPr>
                <w:rFonts w:cstheme="minorHAnsi"/>
                <w:sz w:val="15"/>
                <w:szCs w:val="15"/>
              </w:rPr>
              <w:t>system facing unsustainable number of hospitalisations.</w:t>
            </w:r>
            <w:r w:rsidR="00D81680" w:rsidRPr="001C18E0">
              <w:rPr>
                <w:rFonts w:cstheme="minorHAnsi"/>
                <w:sz w:val="15"/>
                <w:szCs w:val="15"/>
              </w:rPr>
              <w:t xml:space="preserve"> </w:t>
            </w:r>
          </w:p>
          <w:p w14:paraId="1BD12457" w14:textId="6DB5F1FF" w:rsidR="0045419F" w:rsidRPr="0048216F" w:rsidRDefault="0045419F" w:rsidP="004613EE">
            <w:pPr>
              <w:spacing w:before="25" w:after="25"/>
              <w:rPr>
                <w:rFonts w:cstheme="minorHAnsi"/>
                <w:sz w:val="15"/>
                <w:szCs w:val="15"/>
              </w:rPr>
            </w:pPr>
          </w:p>
        </w:tc>
      </w:tr>
      <w:tr w:rsidR="001E2AF8" w:rsidRPr="00436174" w14:paraId="5E77910D" w14:textId="77777777" w:rsidTr="005E618C">
        <w:trPr>
          <w:trHeight w:val="90"/>
        </w:trPr>
        <w:tc>
          <w:tcPr>
            <w:tcW w:w="2835" w:type="dxa"/>
            <w:shd w:val="clear" w:color="auto" w:fill="D9D9D9" w:themeFill="background1" w:themeFillShade="D9"/>
          </w:tcPr>
          <w:p w14:paraId="6BFC71AC" w14:textId="7FE7FBFB" w:rsidR="001E2AF8" w:rsidRPr="0048216F" w:rsidRDefault="001E2AF8" w:rsidP="002F2FFE">
            <w:pPr>
              <w:spacing w:before="25" w:after="25"/>
              <w:rPr>
                <w:rFonts w:cstheme="minorHAnsi"/>
                <w:sz w:val="15"/>
                <w:szCs w:val="15"/>
              </w:rPr>
            </w:pPr>
            <w:r w:rsidRPr="0048216F">
              <w:rPr>
                <w:rFonts w:cstheme="minorHAnsi"/>
                <w:sz w:val="15"/>
                <w:szCs w:val="15"/>
              </w:rPr>
              <w:t>Vaccination requirements</w:t>
            </w:r>
          </w:p>
        </w:tc>
        <w:tc>
          <w:tcPr>
            <w:tcW w:w="12336" w:type="dxa"/>
            <w:gridSpan w:val="3"/>
          </w:tcPr>
          <w:p w14:paraId="73FD7B7E" w14:textId="4E7044DD" w:rsidR="001E2AF8" w:rsidRPr="0048216F" w:rsidRDefault="001E2AF8" w:rsidP="002F2FFE">
            <w:pPr>
              <w:spacing w:before="25" w:after="25"/>
              <w:rPr>
                <w:sz w:val="15"/>
                <w:szCs w:val="15"/>
              </w:rPr>
            </w:pPr>
            <w:r w:rsidRPr="0048216F">
              <w:rPr>
                <w:sz w:val="15"/>
                <w:szCs w:val="15"/>
              </w:rPr>
              <w:t xml:space="preserve">There is no Government vaccination requirement for tertiary education premises </w:t>
            </w:r>
            <w:r>
              <w:rPr>
                <w:sz w:val="15"/>
                <w:szCs w:val="15"/>
              </w:rPr>
              <w:t xml:space="preserve">at any setting of the Framework. </w:t>
            </w:r>
            <w:r w:rsidRPr="001E2AF8">
              <w:rPr>
                <w:sz w:val="15"/>
                <w:szCs w:val="15"/>
              </w:rPr>
              <w:t>If providers wish to continue with</w:t>
            </w:r>
            <w:r w:rsidR="00A316FC">
              <w:rPr>
                <w:sz w:val="15"/>
                <w:szCs w:val="15"/>
              </w:rPr>
              <w:t>, or put in place,</w:t>
            </w:r>
            <w:r w:rsidRPr="001E2AF8">
              <w:rPr>
                <w:sz w:val="15"/>
                <w:szCs w:val="15"/>
              </w:rPr>
              <w:t xml:space="preserve"> their own vaccine policies or restrictions, they will need ensure these are consistent with an updated </w:t>
            </w:r>
            <w:r w:rsidR="00A10E59">
              <w:rPr>
                <w:sz w:val="15"/>
                <w:szCs w:val="15"/>
              </w:rPr>
              <w:t xml:space="preserve">workplace </w:t>
            </w:r>
            <w:r w:rsidR="00426BE9">
              <w:rPr>
                <w:sz w:val="15"/>
                <w:szCs w:val="15"/>
              </w:rPr>
              <w:t>h</w:t>
            </w:r>
            <w:r w:rsidRPr="001E2AF8">
              <w:rPr>
                <w:sz w:val="15"/>
                <w:szCs w:val="15"/>
              </w:rPr>
              <w:t xml:space="preserve">ealth and </w:t>
            </w:r>
            <w:r w:rsidR="00426BE9">
              <w:rPr>
                <w:sz w:val="15"/>
                <w:szCs w:val="15"/>
              </w:rPr>
              <w:t>s</w:t>
            </w:r>
            <w:r w:rsidRPr="001E2AF8">
              <w:rPr>
                <w:sz w:val="15"/>
                <w:szCs w:val="15"/>
              </w:rPr>
              <w:t xml:space="preserve">afety risk assessment and in consideration of </w:t>
            </w:r>
            <w:r w:rsidR="0062549B">
              <w:rPr>
                <w:sz w:val="15"/>
                <w:szCs w:val="15"/>
              </w:rPr>
              <w:t xml:space="preserve">their </w:t>
            </w:r>
            <w:r w:rsidRPr="001E2AF8">
              <w:rPr>
                <w:sz w:val="15"/>
                <w:szCs w:val="15"/>
              </w:rPr>
              <w:t xml:space="preserve">normal responsibilities. </w:t>
            </w:r>
          </w:p>
        </w:tc>
      </w:tr>
      <w:tr w:rsidR="001E2AF8" w:rsidRPr="00436174" w14:paraId="7CB59C53" w14:textId="77777777" w:rsidTr="005E618C">
        <w:trPr>
          <w:trHeight w:val="90"/>
        </w:trPr>
        <w:tc>
          <w:tcPr>
            <w:tcW w:w="2835" w:type="dxa"/>
            <w:shd w:val="clear" w:color="auto" w:fill="D9D9D9" w:themeFill="background1" w:themeFillShade="D9"/>
          </w:tcPr>
          <w:p w14:paraId="183CA322" w14:textId="236BCCFB" w:rsidR="001E2AF8" w:rsidRPr="0048216F" w:rsidRDefault="001E2AF8" w:rsidP="002F2FFE">
            <w:pPr>
              <w:spacing w:before="25" w:after="25"/>
              <w:rPr>
                <w:rFonts w:cstheme="minorHAnsi"/>
                <w:sz w:val="15"/>
                <w:szCs w:val="15"/>
              </w:rPr>
            </w:pPr>
            <w:r>
              <w:rPr>
                <w:rFonts w:cstheme="minorHAnsi"/>
                <w:sz w:val="15"/>
                <w:szCs w:val="15"/>
              </w:rPr>
              <w:t>Recordkeeping</w:t>
            </w:r>
          </w:p>
        </w:tc>
        <w:tc>
          <w:tcPr>
            <w:tcW w:w="12336" w:type="dxa"/>
            <w:gridSpan w:val="3"/>
          </w:tcPr>
          <w:p w14:paraId="694AFC15" w14:textId="440EA0BC" w:rsidR="001E2AF8" w:rsidRPr="0048216F" w:rsidDel="001E2AF8" w:rsidRDefault="001E2AF8" w:rsidP="002F2FFE">
            <w:pPr>
              <w:spacing w:before="25" w:after="25"/>
              <w:rPr>
                <w:sz w:val="15"/>
                <w:szCs w:val="15"/>
              </w:rPr>
            </w:pPr>
            <w:r w:rsidRPr="001E2AF8">
              <w:rPr>
                <w:sz w:val="15"/>
                <w:szCs w:val="15"/>
              </w:rPr>
              <w:t xml:space="preserve">Providers are </w:t>
            </w:r>
            <w:r w:rsidR="00A316FC">
              <w:rPr>
                <w:sz w:val="15"/>
                <w:szCs w:val="15"/>
              </w:rPr>
              <w:t xml:space="preserve">no longer </w:t>
            </w:r>
            <w:r w:rsidRPr="001E2AF8">
              <w:rPr>
                <w:sz w:val="15"/>
                <w:szCs w:val="15"/>
              </w:rPr>
              <w:t>required to enable recordkeeping by displaying COVID Tracer QR codes</w:t>
            </w:r>
            <w:r w:rsidR="00A316FC">
              <w:rPr>
                <w:sz w:val="15"/>
                <w:szCs w:val="15"/>
              </w:rPr>
              <w:t xml:space="preserve"> but should retain capability to swiftly reinstall these in case they are required again in future.</w:t>
            </w:r>
            <w:r w:rsidR="00740E01">
              <w:rPr>
                <w:sz w:val="15"/>
                <w:szCs w:val="15"/>
              </w:rPr>
              <w:t xml:space="preserve"> There is no longer a requirement to offer alternative forms of recordkeeping (e.g., paper-based). </w:t>
            </w:r>
          </w:p>
        </w:tc>
      </w:tr>
      <w:tr w:rsidR="00BE5E75" w:rsidRPr="00436174" w14:paraId="031FA04C" w14:textId="77777777" w:rsidTr="005E618C">
        <w:trPr>
          <w:trHeight w:val="70"/>
        </w:trPr>
        <w:tc>
          <w:tcPr>
            <w:tcW w:w="2835" w:type="dxa"/>
            <w:shd w:val="clear" w:color="auto" w:fill="D9D9D9" w:themeFill="background1" w:themeFillShade="D9"/>
          </w:tcPr>
          <w:p w14:paraId="0894A6CA" w14:textId="2FA266DE" w:rsidR="0063070F" w:rsidRPr="0048216F" w:rsidRDefault="0063070F" w:rsidP="002F2FFE">
            <w:pPr>
              <w:spacing w:before="25" w:after="25"/>
              <w:rPr>
                <w:rFonts w:cstheme="minorHAnsi"/>
                <w:sz w:val="15"/>
                <w:szCs w:val="15"/>
              </w:rPr>
            </w:pPr>
            <w:r w:rsidRPr="0048216F">
              <w:rPr>
                <w:rFonts w:cstheme="minorHAnsi"/>
                <w:sz w:val="15"/>
                <w:szCs w:val="15"/>
              </w:rPr>
              <w:t xml:space="preserve">Remote learning </w:t>
            </w:r>
          </w:p>
        </w:tc>
        <w:tc>
          <w:tcPr>
            <w:tcW w:w="12336" w:type="dxa"/>
            <w:gridSpan w:val="3"/>
          </w:tcPr>
          <w:p w14:paraId="2E90C699" w14:textId="0C30B5A7" w:rsidR="00155167" w:rsidRPr="0048216F" w:rsidRDefault="00E71D2F" w:rsidP="002F2FFE">
            <w:pPr>
              <w:spacing w:before="25" w:after="25"/>
              <w:rPr>
                <w:sz w:val="15"/>
                <w:szCs w:val="15"/>
              </w:rPr>
            </w:pPr>
            <w:r w:rsidRPr="0048216F">
              <w:rPr>
                <w:sz w:val="15"/>
                <w:szCs w:val="15"/>
              </w:rPr>
              <w:t xml:space="preserve">Where possible, </w:t>
            </w:r>
            <w:r w:rsidR="008176E9" w:rsidRPr="0048216F">
              <w:rPr>
                <w:sz w:val="15"/>
                <w:szCs w:val="15"/>
              </w:rPr>
              <w:t xml:space="preserve">providers </w:t>
            </w:r>
            <w:r w:rsidR="0063070F" w:rsidRPr="0048216F">
              <w:rPr>
                <w:sz w:val="15"/>
                <w:szCs w:val="15"/>
              </w:rPr>
              <w:t xml:space="preserve">are encouraged to </w:t>
            </w:r>
            <w:r w:rsidR="003079F3" w:rsidRPr="0048216F">
              <w:rPr>
                <w:sz w:val="15"/>
                <w:szCs w:val="15"/>
              </w:rPr>
              <w:t xml:space="preserve">make </w:t>
            </w:r>
            <w:r w:rsidR="0063070F" w:rsidRPr="0048216F">
              <w:rPr>
                <w:sz w:val="15"/>
                <w:szCs w:val="15"/>
              </w:rPr>
              <w:t>learning options available for those who are unable or unwilling to attend classes being held onsite</w:t>
            </w:r>
            <w:r w:rsidRPr="0048216F">
              <w:rPr>
                <w:sz w:val="15"/>
                <w:szCs w:val="15"/>
              </w:rPr>
              <w:t>.</w:t>
            </w:r>
          </w:p>
        </w:tc>
      </w:tr>
      <w:tr w:rsidR="00174114" w:rsidRPr="00436174" w14:paraId="2B4A9000" w14:textId="77777777" w:rsidTr="005E618C">
        <w:tc>
          <w:tcPr>
            <w:tcW w:w="2835" w:type="dxa"/>
            <w:shd w:val="clear" w:color="auto" w:fill="D9D9D9" w:themeFill="background1" w:themeFillShade="D9"/>
          </w:tcPr>
          <w:p w14:paraId="2C048F71" w14:textId="6F5F6500" w:rsidR="00174114" w:rsidRPr="0048216F" w:rsidRDefault="00174114" w:rsidP="002F2FFE">
            <w:pPr>
              <w:spacing w:before="25" w:after="25"/>
              <w:rPr>
                <w:rFonts w:cstheme="minorHAnsi"/>
                <w:sz w:val="15"/>
                <w:szCs w:val="15"/>
              </w:rPr>
            </w:pPr>
            <w:r w:rsidRPr="0048216F">
              <w:rPr>
                <w:rFonts w:cstheme="minorHAnsi"/>
                <w:sz w:val="15"/>
                <w:szCs w:val="15"/>
              </w:rPr>
              <w:t>Teaching and learning spaces (including for workshops, classes, labs, tutorials, meetings, noho marae, exams and assessments</w:t>
            </w:r>
            <w:r w:rsidR="00027412">
              <w:rPr>
                <w:rFonts w:cstheme="minorHAnsi"/>
                <w:sz w:val="15"/>
                <w:szCs w:val="15"/>
              </w:rPr>
              <w:t xml:space="preserve">, </w:t>
            </w:r>
            <w:r w:rsidR="000D5BBE">
              <w:rPr>
                <w:rFonts w:cstheme="minorHAnsi"/>
                <w:sz w:val="15"/>
                <w:szCs w:val="15"/>
              </w:rPr>
              <w:t>induction</w:t>
            </w:r>
            <w:r w:rsidR="00360C41">
              <w:rPr>
                <w:rFonts w:cstheme="minorHAnsi"/>
                <w:sz w:val="15"/>
                <w:szCs w:val="15"/>
              </w:rPr>
              <w:t>s</w:t>
            </w:r>
            <w:r w:rsidR="007733A6">
              <w:rPr>
                <w:rFonts w:cstheme="minorHAnsi"/>
                <w:sz w:val="15"/>
                <w:szCs w:val="15"/>
              </w:rPr>
              <w:t>/</w:t>
            </w:r>
            <w:r w:rsidR="000D5BBE">
              <w:rPr>
                <w:rFonts w:cstheme="minorHAnsi"/>
                <w:sz w:val="15"/>
                <w:szCs w:val="15"/>
              </w:rPr>
              <w:t>orientation</w:t>
            </w:r>
            <w:r w:rsidRPr="0048216F">
              <w:rPr>
                <w:rFonts w:cstheme="minorHAnsi"/>
                <w:sz w:val="15"/>
                <w:szCs w:val="15"/>
              </w:rPr>
              <w:t>)</w:t>
            </w:r>
          </w:p>
        </w:tc>
        <w:tc>
          <w:tcPr>
            <w:tcW w:w="8080" w:type="dxa"/>
            <w:gridSpan w:val="2"/>
          </w:tcPr>
          <w:p w14:paraId="45FFB539" w14:textId="65FA68E8" w:rsidR="00174114" w:rsidRPr="0048216F" w:rsidRDefault="001E2AF8" w:rsidP="002F2FFE">
            <w:pPr>
              <w:spacing w:before="25" w:after="25"/>
              <w:rPr>
                <w:rFonts w:cstheme="minorHAnsi"/>
                <w:sz w:val="15"/>
                <w:szCs w:val="15"/>
              </w:rPr>
            </w:pPr>
            <w:r w:rsidRPr="0048216F">
              <w:rPr>
                <w:sz w:val="15"/>
                <w:szCs w:val="15"/>
              </w:rPr>
              <w:t>Public health measures (for example capacity limits, physical distancing,</w:t>
            </w:r>
            <w:r w:rsidR="0062549B">
              <w:rPr>
                <w:sz w:val="15"/>
                <w:szCs w:val="15"/>
              </w:rPr>
              <w:t xml:space="preserve"> face masks</w:t>
            </w:r>
            <w:r w:rsidRPr="0048216F">
              <w:rPr>
                <w:sz w:val="15"/>
                <w:szCs w:val="15"/>
              </w:rPr>
              <w:t xml:space="preserve"> and ventilation) are encouraged at Green, and strongly recommended at </w:t>
            </w:r>
            <w:r>
              <w:rPr>
                <w:sz w:val="15"/>
                <w:szCs w:val="15"/>
              </w:rPr>
              <w:t xml:space="preserve">Orange. </w:t>
            </w:r>
            <w:r w:rsidR="00174114" w:rsidRPr="0048216F">
              <w:rPr>
                <w:rFonts w:cstheme="minorHAnsi"/>
                <w:sz w:val="15"/>
                <w:szCs w:val="15"/>
              </w:rPr>
              <w:t xml:space="preserve">Providers can choose capacity limits in teaching and learning spaces for Green and Orange, taking into account the community transmission and vaccination rates in their area and other public health measures they may impose. </w:t>
            </w:r>
            <w:r w:rsidR="00935870" w:rsidRPr="0048216F">
              <w:rPr>
                <w:rFonts w:cstheme="minorHAnsi"/>
                <w:sz w:val="15"/>
                <w:szCs w:val="15"/>
              </w:rPr>
              <w:t xml:space="preserve">Providers should also consider their staff and learner wellbeing and safety systems, plans and goals. </w:t>
            </w:r>
            <w:r w:rsidR="00174114" w:rsidRPr="0048216F">
              <w:rPr>
                <w:rFonts w:cstheme="minorHAnsi"/>
                <w:sz w:val="15"/>
                <w:szCs w:val="15"/>
              </w:rPr>
              <w:t xml:space="preserve">Face </w:t>
            </w:r>
            <w:r w:rsidR="00AB6A1E">
              <w:rPr>
                <w:rFonts w:cstheme="minorHAnsi"/>
                <w:sz w:val="15"/>
                <w:szCs w:val="15"/>
              </w:rPr>
              <w:t>mask</w:t>
            </w:r>
            <w:r w:rsidR="00AB6A1E" w:rsidRPr="0048216F">
              <w:rPr>
                <w:rFonts w:cstheme="minorHAnsi"/>
                <w:sz w:val="15"/>
                <w:szCs w:val="15"/>
              </w:rPr>
              <w:t xml:space="preserve">s </w:t>
            </w:r>
            <w:r w:rsidR="00174114" w:rsidRPr="0048216F">
              <w:rPr>
                <w:rFonts w:cstheme="minorHAnsi"/>
                <w:sz w:val="15"/>
                <w:szCs w:val="15"/>
              </w:rPr>
              <w:t>are encouraged.</w:t>
            </w:r>
          </w:p>
        </w:tc>
        <w:tc>
          <w:tcPr>
            <w:tcW w:w="4256" w:type="dxa"/>
            <w:vMerge w:val="restart"/>
          </w:tcPr>
          <w:p w14:paraId="6B87C91B" w14:textId="529774F5" w:rsidR="00174114" w:rsidRPr="0048216F" w:rsidRDefault="003D7912" w:rsidP="002F2FFE">
            <w:pPr>
              <w:spacing w:before="25" w:after="25"/>
              <w:rPr>
                <w:sz w:val="15"/>
                <w:szCs w:val="15"/>
              </w:rPr>
            </w:pPr>
            <w:r>
              <w:rPr>
                <w:sz w:val="15"/>
                <w:szCs w:val="15"/>
              </w:rPr>
              <w:t>On</w:t>
            </w:r>
            <w:r w:rsidR="00174114" w:rsidRPr="0048216F">
              <w:rPr>
                <w:sz w:val="15"/>
                <w:szCs w:val="15"/>
              </w:rPr>
              <w:t xml:space="preserve"> tertiary education</w:t>
            </w:r>
            <w:r w:rsidR="005838A1" w:rsidRPr="0048216F">
              <w:rPr>
                <w:sz w:val="15"/>
                <w:szCs w:val="15"/>
              </w:rPr>
              <w:t xml:space="preserve"> </w:t>
            </w:r>
            <w:r>
              <w:rPr>
                <w:sz w:val="15"/>
                <w:szCs w:val="15"/>
              </w:rPr>
              <w:t xml:space="preserve">premises </w:t>
            </w:r>
            <w:r w:rsidR="005838A1" w:rsidRPr="0048216F">
              <w:rPr>
                <w:sz w:val="15"/>
                <w:szCs w:val="15"/>
              </w:rPr>
              <w:t>at Red</w:t>
            </w:r>
            <w:r w:rsidR="00174114" w:rsidRPr="0048216F">
              <w:rPr>
                <w:sz w:val="15"/>
                <w:szCs w:val="15"/>
              </w:rPr>
              <w:t xml:space="preserve">, capacity limits must be based on 1m distancing and face </w:t>
            </w:r>
            <w:r w:rsidR="001E2AF8">
              <w:rPr>
                <w:sz w:val="15"/>
                <w:szCs w:val="15"/>
              </w:rPr>
              <w:t>masks</w:t>
            </w:r>
            <w:r w:rsidR="001E2AF8" w:rsidRPr="0048216F">
              <w:rPr>
                <w:sz w:val="15"/>
                <w:szCs w:val="15"/>
              </w:rPr>
              <w:t xml:space="preserve"> </w:t>
            </w:r>
            <w:r w:rsidR="00174114" w:rsidRPr="0048216F">
              <w:rPr>
                <w:sz w:val="15"/>
                <w:szCs w:val="15"/>
              </w:rPr>
              <w:t xml:space="preserve">must be used </w:t>
            </w:r>
            <w:r w:rsidR="00F531CE">
              <w:rPr>
                <w:sz w:val="15"/>
                <w:szCs w:val="15"/>
              </w:rPr>
              <w:t>in</w:t>
            </w:r>
            <w:r w:rsidR="00F531CE" w:rsidRPr="0048216F">
              <w:rPr>
                <w:sz w:val="15"/>
                <w:szCs w:val="15"/>
              </w:rPr>
              <w:t xml:space="preserve"> </w:t>
            </w:r>
            <w:r w:rsidR="00174114" w:rsidRPr="0048216F">
              <w:rPr>
                <w:sz w:val="15"/>
                <w:szCs w:val="15"/>
              </w:rPr>
              <w:t>indoor</w:t>
            </w:r>
            <w:r w:rsidR="00F531CE">
              <w:rPr>
                <w:sz w:val="15"/>
                <w:szCs w:val="15"/>
              </w:rPr>
              <w:t xml:space="preserve"> settings that are open to the public</w:t>
            </w:r>
            <w:r w:rsidR="00174114" w:rsidRPr="0048216F">
              <w:rPr>
                <w:sz w:val="15"/>
                <w:szCs w:val="15"/>
              </w:rPr>
              <w:t xml:space="preserve"> </w:t>
            </w:r>
            <w:r w:rsidR="00F531CE">
              <w:rPr>
                <w:sz w:val="15"/>
                <w:szCs w:val="15"/>
              </w:rPr>
              <w:t xml:space="preserve">and during formal teaching and learning activities </w:t>
            </w:r>
            <w:r w:rsidR="00174114" w:rsidRPr="0048216F">
              <w:rPr>
                <w:sz w:val="15"/>
                <w:szCs w:val="15"/>
              </w:rPr>
              <w:t>(unless an exemption applies). Tertiary education includes:</w:t>
            </w:r>
          </w:p>
          <w:p w14:paraId="533AF091" w14:textId="3C69EF62" w:rsidR="00174114" w:rsidRPr="0048216F" w:rsidRDefault="00174114" w:rsidP="002F2FFE">
            <w:pPr>
              <w:numPr>
                <w:ilvl w:val="0"/>
                <w:numId w:val="22"/>
              </w:numPr>
              <w:spacing w:before="25" w:after="25"/>
              <w:ind w:left="311" w:hanging="283"/>
              <w:rPr>
                <w:sz w:val="15"/>
                <w:szCs w:val="15"/>
              </w:rPr>
            </w:pPr>
            <w:r w:rsidRPr="0048216F">
              <w:rPr>
                <w:sz w:val="15"/>
                <w:szCs w:val="15"/>
              </w:rPr>
              <w:t>Teaching and learning (</w:t>
            </w:r>
            <w:r w:rsidR="000C249F" w:rsidRPr="0048216F">
              <w:rPr>
                <w:sz w:val="15"/>
                <w:szCs w:val="15"/>
              </w:rPr>
              <w:t>e.g.</w:t>
            </w:r>
            <w:r w:rsidRPr="0048216F">
              <w:rPr>
                <w:sz w:val="15"/>
                <w:szCs w:val="15"/>
              </w:rPr>
              <w:t xml:space="preserve"> workshops, classes, labs, tutorials, meetings, noho marae, exams, assessments</w:t>
            </w:r>
            <w:r w:rsidR="00077C35">
              <w:rPr>
                <w:sz w:val="15"/>
                <w:szCs w:val="15"/>
              </w:rPr>
              <w:t>, inductions/orientation</w:t>
            </w:r>
            <w:r w:rsidRPr="0048216F">
              <w:rPr>
                <w:sz w:val="15"/>
                <w:szCs w:val="15"/>
              </w:rPr>
              <w:t>)</w:t>
            </w:r>
          </w:p>
          <w:p w14:paraId="172BC9EA" w14:textId="5A1EF513" w:rsidR="00174114" w:rsidRPr="0048216F" w:rsidRDefault="00174114" w:rsidP="002F2FFE">
            <w:pPr>
              <w:numPr>
                <w:ilvl w:val="0"/>
                <w:numId w:val="22"/>
              </w:numPr>
              <w:spacing w:before="25" w:after="25"/>
              <w:ind w:left="311" w:hanging="283"/>
              <w:rPr>
                <w:sz w:val="15"/>
                <w:szCs w:val="15"/>
              </w:rPr>
            </w:pPr>
            <w:r w:rsidRPr="0048216F">
              <w:rPr>
                <w:sz w:val="15"/>
                <w:szCs w:val="15"/>
              </w:rPr>
              <w:t xml:space="preserve">Research and related activities (including activities in studios, theatres, </w:t>
            </w:r>
            <w:r w:rsidR="00D65DA8" w:rsidRPr="0048216F">
              <w:rPr>
                <w:sz w:val="15"/>
                <w:szCs w:val="15"/>
              </w:rPr>
              <w:t>etc</w:t>
            </w:r>
            <w:r w:rsidRPr="0048216F">
              <w:rPr>
                <w:sz w:val="15"/>
                <w:szCs w:val="15"/>
              </w:rPr>
              <w:t>)</w:t>
            </w:r>
          </w:p>
          <w:p w14:paraId="05EDC451" w14:textId="63B116DB" w:rsidR="00174114" w:rsidRPr="0048216F" w:rsidRDefault="00174114" w:rsidP="002F2FFE">
            <w:pPr>
              <w:numPr>
                <w:ilvl w:val="0"/>
                <w:numId w:val="22"/>
              </w:numPr>
              <w:spacing w:before="25" w:after="25"/>
              <w:ind w:left="311" w:hanging="283"/>
              <w:rPr>
                <w:sz w:val="15"/>
                <w:szCs w:val="15"/>
              </w:rPr>
            </w:pPr>
            <w:r w:rsidRPr="0048216F">
              <w:rPr>
                <w:sz w:val="15"/>
                <w:szCs w:val="15"/>
              </w:rPr>
              <w:t>Student support and advisory services</w:t>
            </w:r>
          </w:p>
          <w:p w14:paraId="0D9114A5" w14:textId="2F7A3E6F" w:rsidR="00174114" w:rsidRPr="0048216F" w:rsidRDefault="00174114" w:rsidP="002F2FFE">
            <w:pPr>
              <w:numPr>
                <w:ilvl w:val="0"/>
                <w:numId w:val="22"/>
              </w:numPr>
              <w:spacing w:before="25" w:after="25"/>
              <w:ind w:left="311" w:hanging="283"/>
              <w:rPr>
                <w:sz w:val="15"/>
                <w:szCs w:val="15"/>
              </w:rPr>
            </w:pPr>
            <w:r w:rsidRPr="0048216F">
              <w:rPr>
                <w:sz w:val="15"/>
                <w:szCs w:val="15"/>
              </w:rPr>
              <w:t>Administrative and operations activities.</w:t>
            </w:r>
          </w:p>
          <w:p w14:paraId="665A2501" w14:textId="0CB467AF" w:rsidR="00D47557" w:rsidRPr="0048216F" w:rsidRDefault="00174114" w:rsidP="002F2FFE">
            <w:pPr>
              <w:spacing w:before="25" w:after="25"/>
              <w:rPr>
                <w:sz w:val="15"/>
                <w:szCs w:val="15"/>
              </w:rPr>
            </w:pPr>
            <w:r w:rsidRPr="0048216F">
              <w:rPr>
                <w:sz w:val="15"/>
                <w:szCs w:val="15"/>
              </w:rPr>
              <w:t xml:space="preserve">This will include spaces such as libraries and indoor hubs. </w:t>
            </w:r>
            <w:r w:rsidR="00D47557" w:rsidRPr="0048216F">
              <w:rPr>
                <w:sz w:val="15"/>
                <w:szCs w:val="15"/>
              </w:rPr>
              <w:t>Tertiary education providers will still need to comply with relevant health and safety laws, and are expected to undertake risk assessments and consider additional public health measures as appropriate.</w:t>
            </w:r>
          </w:p>
        </w:tc>
      </w:tr>
      <w:tr w:rsidR="00174114" w:rsidRPr="00436174" w14:paraId="3C66D5CE" w14:textId="77777777" w:rsidTr="005E618C">
        <w:tc>
          <w:tcPr>
            <w:tcW w:w="2835" w:type="dxa"/>
            <w:shd w:val="clear" w:color="auto" w:fill="D9D9D9" w:themeFill="background1" w:themeFillShade="D9"/>
          </w:tcPr>
          <w:p w14:paraId="66831468" w14:textId="77777777" w:rsidR="00174114" w:rsidRPr="0048216F" w:rsidRDefault="00174114" w:rsidP="002F2FFE">
            <w:pPr>
              <w:spacing w:before="25" w:after="25"/>
              <w:rPr>
                <w:rFonts w:cstheme="minorHAnsi"/>
                <w:sz w:val="15"/>
                <w:szCs w:val="15"/>
              </w:rPr>
            </w:pPr>
            <w:r w:rsidRPr="0048216F">
              <w:rPr>
                <w:rFonts w:cstheme="minorHAnsi"/>
                <w:sz w:val="15"/>
                <w:szCs w:val="15"/>
              </w:rPr>
              <w:t>Research and related activities (including activities in studios, theatres, and other spaces that creative and humanities disciplines use)</w:t>
            </w:r>
          </w:p>
        </w:tc>
        <w:tc>
          <w:tcPr>
            <w:tcW w:w="3969" w:type="dxa"/>
          </w:tcPr>
          <w:p w14:paraId="75F2A01F" w14:textId="66D5B96E" w:rsidR="00174114" w:rsidRPr="0048216F" w:rsidRDefault="00174114" w:rsidP="002F2FFE">
            <w:pPr>
              <w:spacing w:before="25" w:after="25"/>
              <w:rPr>
                <w:rFonts w:cstheme="minorHAnsi"/>
                <w:sz w:val="15"/>
                <w:szCs w:val="15"/>
              </w:rPr>
            </w:pPr>
            <w:r w:rsidRPr="0048216F">
              <w:rPr>
                <w:rFonts w:cstheme="minorHAnsi"/>
                <w:sz w:val="15"/>
                <w:szCs w:val="15"/>
              </w:rPr>
              <w:t xml:space="preserve">Research and related activities </w:t>
            </w:r>
            <w:r w:rsidR="00EF53DD">
              <w:rPr>
                <w:rFonts w:cstheme="minorHAnsi"/>
                <w:sz w:val="15"/>
                <w:szCs w:val="15"/>
              </w:rPr>
              <w:t>can take place</w:t>
            </w:r>
            <w:r w:rsidRPr="0048216F">
              <w:rPr>
                <w:rFonts w:cstheme="minorHAnsi"/>
                <w:sz w:val="15"/>
                <w:szCs w:val="15"/>
              </w:rPr>
              <w:t xml:space="preserve"> if they comply with the general COVID-19 requirements applying at Green, the Health and Safety at Work Act 2015 and relevant Work</w:t>
            </w:r>
            <w:r w:rsidR="003226BF">
              <w:rPr>
                <w:rFonts w:cstheme="minorHAnsi"/>
                <w:sz w:val="15"/>
                <w:szCs w:val="15"/>
              </w:rPr>
              <w:t>S</w:t>
            </w:r>
            <w:r w:rsidRPr="0048216F">
              <w:rPr>
                <w:rFonts w:cstheme="minorHAnsi"/>
                <w:sz w:val="15"/>
                <w:szCs w:val="15"/>
              </w:rPr>
              <w:t>afe regulations.</w:t>
            </w:r>
          </w:p>
          <w:p w14:paraId="4DB2D3C4" w14:textId="64BB066E" w:rsidR="00174114" w:rsidRPr="0048216F" w:rsidRDefault="00174114" w:rsidP="002F2FFE">
            <w:pPr>
              <w:spacing w:before="25" w:after="25"/>
              <w:rPr>
                <w:rFonts w:cstheme="minorHAnsi"/>
                <w:sz w:val="15"/>
                <w:szCs w:val="15"/>
              </w:rPr>
            </w:pPr>
          </w:p>
        </w:tc>
        <w:tc>
          <w:tcPr>
            <w:tcW w:w="4111" w:type="dxa"/>
          </w:tcPr>
          <w:p w14:paraId="70529296" w14:textId="0BAF8492" w:rsidR="00174114" w:rsidRPr="0048216F" w:rsidRDefault="00CD7E56" w:rsidP="002F2FFE">
            <w:pPr>
              <w:spacing w:before="25" w:after="25"/>
              <w:rPr>
                <w:rFonts w:cstheme="minorHAnsi"/>
                <w:sz w:val="15"/>
                <w:szCs w:val="15"/>
              </w:rPr>
            </w:pPr>
            <w:r>
              <w:rPr>
                <w:rFonts w:cstheme="minorHAnsi"/>
                <w:sz w:val="15"/>
                <w:szCs w:val="15"/>
              </w:rPr>
              <w:t>At Orange, a</w:t>
            </w:r>
            <w:r w:rsidR="00174114" w:rsidRPr="0048216F">
              <w:rPr>
                <w:rFonts w:cstheme="minorHAnsi"/>
                <w:sz w:val="15"/>
                <w:szCs w:val="15"/>
              </w:rPr>
              <w:t xml:space="preserve">s well as the </w:t>
            </w:r>
            <w:r w:rsidR="00501648">
              <w:rPr>
                <w:rFonts w:cstheme="minorHAnsi"/>
                <w:sz w:val="15"/>
                <w:szCs w:val="15"/>
              </w:rPr>
              <w:t>guidance</w:t>
            </w:r>
            <w:r w:rsidR="00501648" w:rsidRPr="0048216F">
              <w:rPr>
                <w:rFonts w:cstheme="minorHAnsi"/>
                <w:sz w:val="15"/>
                <w:szCs w:val="15"/>
              </w:rPr>
              <w:t xml:space="preserve"> </w:t>
            </w:r>
            <w:r w:rsidR="00174114" w:rsidRPr="0048216F">
              <w:rPr>
                <w:rFonts w:cstheme="minorHAnsi"/>
                <w:sz w:val="15"/>
                <w:szCs w:val="15"/>
              </w:rPr>
              <w:t xml:space="preserve">for research at Green, providers are encouraged to utilise dedicated health and safety risk assessments for each activity, controlled group sizes for onsite work (including in the field), and other public health measures as appropriate (including face </w:t>
            </w:r>
            <w:r w:rsidR="00AB6A1E">
              <w:rPr>
                <w:rFonts w:cstheme="minorHAnsi"/>
                <w:sz w:val="15"/>
                <w:szCs w:val="15"/>
              </w:rPr>
              <w:t>mask</w:t>
            </w:r>
            <w:r w:rsidR="00AB6A1E" w:rsidRPr="0048216F">
              <w:rPr>
                <w:rFonts w:cstheme="minorHAnsi"/>
                <w:sz w:val="15"/>
                <w:szCs w:val="15"/>
              </w:rPr>
              <w:t>s</w:t>
            </w:r>
            <w:r w:rsidR="00174114" w:rsidRPr="0048216F">
              <w:rPr>
                <w:rFonts w:cstheme="minorHAnsi"/>
                <w:sz w:val="15"/>
                <w:szCs w:val="15"/>
              </w:rPr>
              <w:t>). High-risk activities such as singing should be carefully managed.</w:t>
            </w:r>
          </w:p>
        </w:tc>
        <w:tc>
          <w:tcPr>
            <w:tcW w:w="4256" w:type="dxa"/>
            <w:vMerge/>
          </w:tcPr>
          <w:p w14:paraId="7DEE5CB0" w14:textId="260628CB" w:rsidR="00174114" w:rsidRPr="0048216F" w:rsidRDefault="00174114" w:rsidP="002F2FFE">
            <w:pPr>
              <w:spacing w:before="25" w:after="25"/>
              <w:rPr>
                <w:rFonts w:cstheme="minorHAnsi"/>
                <w:sz w:val="15"/>
                <w:szCs w:val="15"/>
              </w:rPr>
            </w:pPr>
          </w:p>
        </w:tc>
      </w:tr>
      <w:tr w:rsidR="00E438AF" w:rsidRPr="00436174" w14:paraId="26711944" w14:textId="77777777" w:rsidTr="005E618C">
        <w:tc>
          <w:tcPr>
            <w:tcW w:w="2835" w:type="dxa"/>
            <w:shd w:val="clear" w:color="auto" w:fill="D9D9D9" w:themeFill="background1" w:themeFillShade="D9"/>
          </w:tcPr>
          <w:p w14:paraId="50252211" w14:textId="77777777" w:rsidR="00E438AF" w:rsidRPr="0048216F" w:rsidRDefault="00E438AF" w:rsidP="002F2FFE">
            <w:pPr>
              <w:spacing w:before="25" w:after="25"/>
              <w:rPr>
                <w:rFonts w:cstheme="minorHAnsi"/>
                <w:sz w:val="15"/>
                <w:szCs w:val="15"/>
              </w:rPr>
            </w:pPr>
            <w:r w:rsidRPr="0048216F">
              <w:rPr>
                <w:rFonts w:cstheme="minorHAnsi"/>
                <w:sz w:val="15"/>
                <w:szCs w:val="15"/>
              </w:rPr>
              <w:t>Libraries and indoor hubs</w:t>
            </w:r>
          </w:p>
        </w:tc>
        <w:tc>
          <w:tcPr>
            <w:tcW w:w="8080" w:type="dxa"/>
            <w:gridSpan w:val="2"/>
          </w:tcPr>
          <w:p w14:paraId="5414A6B9" w14:textId="49AE032E" w:rsidR="00E438AF" w:rsidRPr="0048216F" w:rsidRDefault="00E438AF" w:rsidP="002F2FFE">
            <w:pPr>
              <w:spacing w:before="25" w:after="25"/>
              <w:rPr>
                <w:rFonts w:cstheme="minorHAnsi"/>
                <w:sz w:val="15"/>
                <w:szCs w:val="15"/>
              </w:rPr>
            </w:pPr>
            <w:r w:rsidRPr="0048216F">
              <w:rPr>
                <w:rFonts w:cstheme="minorHAnsi"/>
                <w:sz w:val="15"/>
                <w:szCs w:val="15"/>
              </w:rPr>
              <w:t xml:space="preserve">Providers can choose capacity limits for libraries and indoor hubs for Green and Orange, taking into account the community transmission and vaccination rates in their area and other public health requirements they may impose (for example physical distancing, face </w:t>
            </w:r>
            <w:r w:rsidR="006764AF">
              <w:rPr>
                <w:rFonts w:cstheme="minorHAnsi"/>
                <w:sz w:val="15"/>
                <w:szCs w:val="15"/>
              </w:rPr>
              <w:t>masks</w:t>
            </w:r>
            <w:r w:rsidRPr="0048216F">
              <w:rPr>
                <w:rFonts w:cstheme="minorHAnsi"/>
                <w:sz w:val="15"/>
                <w:szCs w:val="15"/>
              </w:rPr>
              <w:t xml:space="preserve">, </w:t>
            </w:r>
            <w:r w:rsidR="003B1D00">
              <w:rPr>
                <w:rFonts w:cstheme="minorHAnsi"/>
                <w:sz w:val="15"/>
                <w:szCs w:val="15"/>
              </w:rPr>
              <w:t xml:space="preserve">and </w:t>
            </w:r>
            <w:r w:rsidRPr="0048216F">
              <w:rPr>
                <w:rFonts w:cstheme="minorHAnsi"/>
                <w:sz w:val="15"/>
                <w:szCs w:val="15"/>
              </w:rPr>
              <w:t xml:space="preserve">ventilation). Providers should also consider their staff and learner wellbeing and safety systems, plans and goals. Face </w:t>
            </w:r>
            <w:r w:rsidR="0062549B">
              <w:rPr>
                <w:rFonts w:cstheme="minorHAnsi"/>
                <w:sz w:val="15"/>
                <w:szCs w:val="15"/>
              </w:rPr>
              <w:t>masks</w:t>
            </w:r>
            <w:r w:rsidR="0062549B" w:rsidRPr="0048216F">
              <w:rPr>
                <w:rFonts w:cstheme="minorHAnsi"/>
                <w:sz w:val="15"/>
                <w:szCs w:val="15"/>
              </w:rPr>
              <w:t xml:space="preserve"> </w:t>
            </w:r>
            <w:r w:rsidRPr="0048216F">
              <w:rPr>
                <w:rFonts w:cstheme="minorHAnsi"/>
                <w:sz w:val="15"/>
                <w:szCs w:val="15"/>
              </w:rPr>
              <w:t>are encouraged.</w:t>
            </w:r>
          </w:p>
        </w:tc>
        <w:tc>
          <w:tcPr>
            <w:tcW w:w="4256" w:type="dxa"/>
            <w:vMerge/>
          </w:tcPr>
          <w:p w14:paraId="19EFFAB1" w14:textId="21EB1F18" w:rsidR="00E438AF" w:rsidRPr="0048216F" w:rsidRDefault="00E438AF" w:rsidP="002F2FFE">
            <w:pPr>
              <w:spacing w:before="25" w:after="25"/>
              <w:rPr>
                <w:rFonts w:cstheme="minorHAnsi"/>
                <w:sz w:val="15"/>
                <w:szCs w:val="15"/>
              </w:rPr>
            </w:pPr>
          </w:p>
        </w:tc>
      </w:tr>
      <w:tr w:rsidR="00BE5E75" w:rsidRPr="00436174" w14:paraId="424352FC" w14:textId="77777777" w:rsidTr="005E618C">
        <w:tc>
          <w:tcPr>
            <w:tcW w:w="2835" w:type="dxa"/>
            <w:shd w:val="clear" w:color="auto" w:fill="D9D9D9" w:themeFill="background1" w:themeFillShade="D9"/>
          </w:tcPr>
          <w:p w14:paraId="5BE30BAF" w14:textId="715B230A" w:rsidR="00FB5ED1" w:rsidRPr="0048216F" w:rsidRDefault="00FB5ED1" w:rsidP="002F2FFE">
            <w:pPr>
              <w:spacing w:before="25" w:after="25"/>
              <w:rPr>
                <w:rFonts w:cstheme="minorHAnsi"/>
                <w:sz w:val="15"/>
                <w:szCs w:val="15"/>
              </w:rPr>
            </w:pPr>
            <w:r w:rsidRPr="0048216F">
              <w:rPr>
                <w:rFonts w:cstheme="minorHAnsi"/>
                <w:sz w:val="15"/>
                <w:szCs w:val="15"/>
              </w:rPr>
              <w:t>Workplace-based learning, including apprenticeships</w:t>
            </w:r>
            <w:r w:rsidR="002B0EC7" w:rsidRPr="0048216F">
              <w:rPr>
                <w:rFonts w:cstheme="minorHAnsi"/>
                <w:sz w:val="15"/>
                <w:szCs w:val="15"/>
              </w:rPr>
              <w:t>, practicums, internships</w:t>
            </w:r>
            <w:r w:rsidR="00943220" w:rsidRPr="0048216F">
              <w:rPr>
                <w:rFonts w:cstheme="minorHAnsi"/>
                <w:sz w:val="15"/>
                <w:szCs w:val="15"/>
              </w:rPr>
              <w:t>,</w:t>
            </w:r>
            <w:r w:rsidRPr="0048216F">
              <w:rPr>
                <w:rFonts w:cstheme="minorHAnsi"/>
                <w:sz w:val="15"/>
                <w:szCs w:val="15"/>
              </w:rPr>
              <w:t xml:space="preserve"> and work placements</w:t>
            </w:r>
          </w:p>
        </w:tc>
        <w:tc>
          <w:tcPr>
            <w:tcW w:w="12336" w:type="dxa"/>
            <w:gridSpan w:val="3"/>
          </w:tcPr>
          <w:p w14:paraId="30442B71" w14:textId="5B6C488B" w:rsidR="00FB5ED1" w:rsidRPr="00224A44" w:rsidRDefault="00F97C42" w:rsidP="002F2FFE">
            <w:pPr>
              <w:spacing w:before="25" w:after="25"/>
              <w:rPr>
                <w:sz w:val="15"/>
                <w:szCs w:val="15"/>
              </w:rPr>
            </w:pPr>
            <w:r w:rsidRPr="00224A44">
              <w:rPr>
                <w:sz w:val="15"/>
                <w:szCs w:val="15"/>
              </w:rPr>
              <w:t>W</w:t>
            </w:r>
            <w:r w:rsidR="00FB5ED1" w:rsidRPr="00224A44">
              <w:rPr>
                <w:sz w:val="15"/>
                <w:szCs w:val="15"/>
              </w:rPr>
              <w:t xml:space="preserve">orkplace-based learning (including </w:t>
            </w:r>
            <w:r w:rsidR="00AA50D1" w:rsidRPr="00224A44">
              <w:rPr>
                <w:sz w:val="15"/>
                <w:szCs w:val="15"/>
              </w:rPr>
              <w:t xml:space="preserve">support and </w:t>
            </w:r>
            <w:r w:rsidR="00FB5ED1" w:rsidRPr="00224A44">
              <w:rPr>
                <w:sz w:val="15"/>
                <w:szCs w:val="15"/>
              </w:rPr>
              <w:t>assessments)</w:t>
            </w:r>
            <w:r w:rsidR="007A531F" w:rsidRPr="00224A44">
              <w:rPr>
                <w:sz w:val="15"/>
                <w:szCs w:val="15"/>
              </w:rPr>
              <w:t xml:space="preserve"> </w:t>
            </w:r>
            <w:r w:rsidR="004F3EC1" w:rsidRPr="00224A44">
              <w:rPr>
                <w:sz w:val="15"/>
                <w:szCs w:val="15"/>
              </w:rPr>
              <w:t>is to be</w:t>
            </w:r>
            <w:r w:rsidR="00FB5ED1" w:rsidRPr="00224A44">
              <w:rPr>
                <w:sz w:val="15"/>
                <w:szCs w:val="15"/>
              </w:rPr>
              <w:t xml:space="preserve"> managed subject to the policies, practices and public health control requirements that apply to that workplace, including </w:t>
            </w:r>
            <w:r w:rsidR="003E7962" w:rsidRPr="00224A44">
              <w:rPr>
                <w:sz w:val="15"/>
                <w:szCs w:val="15"/>
              </w:rPr>
              <w:t xml:space="preserve">any </w:t>
            </w:r>
            <w:r w:rsidR="00FB5ED1" w:rsidRPr="00224A44">
              <w:rPr>
                <w:sz w:val="15"/>
                <w:szCs w:val="15"/>
              </w:rPr>
              <w:t xml:space="preserve">vaccination </w:t>
            </w:r>
            <w:r w:rsidR="00384057" w:rsidRPr="00224A44">
              <w:rPr>
                <w:sz w:val="15"/>
                <w:szCs w:val="15"/>
              </w:rPr>
              <w:t>requirements</w:t>
            </w:r>
            <w:r w:rsidR="004F3774" w:rsidRPr="00224A44">
              <w:rPr>
                <w:sz w:val="15"/>
                <w:szCs w:val="15"/>
              </w:rPr>
              <w:t xml:space="preserve"> imposed </w:t>
            </w:r>
            <w:r w:rsidR="003E7962" w:rsidRPr="00224A44">
              <w:rPr>
                <w:sz w:val="15"/>
                <w:szCs w:val="15"/>
              </w:rPr>
              <w:t xml:space="preserve">through a government workforce vaccination mandate or through a business’ </w:t>
            </w:r>
            <w:r w:rsidR="0044688F" w:rsidRPr="00224A44">
              <w:rPr>
                <w:sz w:val="15"/>
                <w:szCs w:val="15"/>
              </w:rPr>
              <w:t>internal</w:t>
            </w:r>
            <w:r w:rsidR="00144906" w:rsidRPr="00224A44">
              <w:rPr>
                <w:sz w:val="15"/>
                <w:szCs w:val="15"/>
              </w:rPr>
              <w:t xml:space="preserve"> </w:t>
            </w:r>
            <w:r w:rsidR="000D1B0C" w:rsidRPr="00224A44">
              <w:rPr>
                <w:sz w:val="15"/>
                <w:szCs w:val="15"/>
              </w:rPr>
              <w:t xml:space="preserve">health and safety </w:t>
            </w:r>
            <w:r w:rsidR="00180F51" w:rsidRPr="00224A44">
              <w:rPr>
                <w:sz w:val="15"/>
                <w:szCs w:val="15"/>
              </w:rPr>
              <w:t>policies</w:t>
            </w:r>
            <w:r w:rsidR="00FB5ED1" w:rsidRPr="00224A44">
              <w:rPr>
                <w:sz w:val="15"/>
                <w:szCs w:val="15"/>
              </w:rPr>
              <w:t xml:space="preserve">. </w:t>
            </w:r>
            <w:r w:rsidR="00553BA2" w:rsidRPr="00224A44">
              <w:rPr>
                <w:sz w:val="15"/>
                <w:szCs w:val="15"/>
              </w:rPr>
              <w:t>This also applies</w:t>
            </w:r>
            <w:r w:rsidR="004F3EC1" w:rsidRPr="00224A44">
              <w:rPr>
                <w:sz w:val="15"/>
                <w:szCs w:val="15"/>
              </w:rPr>
              <w:t xml:space="preserve"> to</w:t>
            </w:r>
            <w:r w:rsidR="00555100" w:rsidRPr="00224A44">
              <w:rPr>
                <w:sz w:val="15"/>
                <w:szCs w:val="15"/>
              </w:rPr>
              <w:t xml:space="preserve"> secondary school students undertaking formal workplace-based learning, for example, via the Gateway </w:t>
            </w:r>
            <w:r w:rsidR="5BE0F411" w:rsidRPr="00224A44">
              <w:rPr>
                <w:sz w:val="15"/>
                <w:szCs w:val="15"/>
              </w:rPr>
              <w:t>programme</w:t>
            </w:r>
            <w:r w:rsidR="00555100" w:rsidRPr="00224A44">
              <w:rPr>
                <w:sz w:val="15"/>
                <w:szCs w:val="15"/>
              </w:rPr>
              <w:t>.</w:t>
            </w:r>
            <w:r w:rsidR="006764AF" w:rsidRPr="00224A44">
              <w:rPr>
                <w:sz w:val="15"/>
                <w:szCs w:val="15"/>
              </w:rPr>
              <w:t xml:space="preserve"> Providers need to ensure that students are aware of any vaccination requirements for completion or a particular course of programme.</w:t>
            </w:r>
          </w:p>
        </w:tc>
      </w:tr>
      <w:tr w:rsidR="00BE5E75" w:rsidRPr="00436174" w14:paraId="4F93A82F" w14:textId="77777777" w:rsidTr="005E618C">
        <w:trPr>
          <w:trHeight w:val="699"/>
        </w:trPr>
        <w:tc>
          <w:tcPr>
            <w:tcW w:w="2835" w:type="dxa"/>
            <w:shd w:val="clear" w:color="auto" w:fill="D9D9D9" w:themeFill="background1" w:themeFillShade="D9"/>
          </w:tcPr>
          <w:p w14:paraId="2BD36B95" w14:textId="77777777" w:rsidR="005E3D95" w:rsidRPr="0048216F" w:rsidRDefault="005E3D95" w:rsidP="002F2FFE">
            <w:pPr>
              <w:spacing w:before="25" w:after="25"/>
              <w:rPr>
                <w:rFonts w:cstheme="minorHAnsi"/>
                <w:sz w:val="15"/>
                <w:szCs w:val="15"/>
              </w:rPr>
            </w:pPr>
            <w:r w:rsidRPr="0048216F">
              <w:rPr>
                <w:rFonts w:cstheme="minorHAnsi"/>
                <w:sz w:val="15"/>
                <w:szCs w:val="15"/>
              </w:rPr>
              <w:t>Secondary-tertiary provision at tertiary sites</w:t>
            </w:r>
          </w:p>
        </w:tc>
        <w:tc>
          <w:tcPr>
            <w:tcW w:w="12336" w:type="dxa"/>
            <w:gridSpan w:val="3"/>
          </w:tcPr>
          <w:p w14:paraId="6D5E23E3" w14:textId="214E9A6B" w:rsidR="00D57C13" w:rsidRPr="00224A44" w:rsidRDefault="00F97C42" w:rsidP="002F2FFE">
            <w:pPr>
              <w:spacing w:before="25" w:after="25"/>
              <w:rPr>
                <w:rFonts w:cstheme="minorHAnsi"/>
                <w:sz w:val="15"/>
                <w:szCs w:val="15"/>
              </w:rPr>
            </w:pPr>
            <w:bookmarkStart w:id="0" w:name="_Hlk100052835"/>
            <w:r w:rsidRPr="00224A44">
              <w:rPr>
                <w:rFonts w:cstheme="minorHAnsi"/>
                <w:color w:val="000000"/>
                <w:sz w:val="15"/>
                <w:szCs w:val="15"/>
                <w:lang w:eastAsia="en-NZ"/>
              </w:rPr>
              <w:t>School</w:t>
            </w:r>
            <w:r w:rsidR="00D57C13" w:rsidRPr="00224A44">
              <w:rPr>
                <w:rFonts w:cstheme="minorHAnsi"/>
                <w:color w:val="000000"/>
                <w:sz w:val="15"/>
                <w:szCs w:val="15"/>
                <w:lang w:eastAsia="en-NZ"/>
              </w:rPr>
              <w:t xml:space="preserve"> students </w:t>
            </w:r>
            <w:r w:rsidR="00631CBF" w:rsidRPr="00224A44">
              <w:rPr>
                <w:rFonts w:cstheme="minorHAnsi"/>
                <w:color w:val="000000"/>
                <w:sz w:val="15"/>
                <w:szCs w:val="15"/>
                <w:lang w:eastAsia="en-NZ"/>
              </w:rPr>
              <w:t xml:space="preserve">accessing their secondary learning in a tertiary setting </w:t>
            </w:r>
            <w:r w:rsidR="00D57C13" w:rsidRPr="00224A44">
              <w:rPr>
                <w:rFonts w:cstheme="minorHAnsi"/>
                <w:color w:val="000000"/>
                <w:sz w:val="15"/>
                <w:szCs w:val="15"/>
                <w:lang w:eastAsia="en-NZ"/>
              </w:rPr>
              <w:t>are</w:t>
            </w:r>
            <w:r w:rsidR="0036598F" w:rsidRPr="00224A44">
              <w:rPr>
                <w:rFonts w:cstheme="minorHAnsi"/>
                <w:color w:val="000000"/>
                <w:sz w:val="15"/>
                <w:szCs w:val="15"/>
                <w:lang w:eastAsia="en-NZ"/>
              </w:rPr>
              <w:t xml:space="preserve"> generally</w:t>
            </w:r>
            <w:r w:rsidR="00D57C13" w:rsidRPr="00224A44">
              <w:rPr>
                <w:rFonts w:cstheme="minorHAnsi"/>
                <w:color w:val="000000"/>
                <w:sz w:val="15"/>
                <w:szCs w:val="15"/>
                <w:lang w:eastAsia="en-NZ"/>
              </w:rPr>
              <w:t xml:space="preserve"> exempt from </w:t>
            </w:r>
            <w:r w:rsidR="00906845" w:rsidRPr="00224A44">
              <w:rPr>
                <w:rFonts w:cstheme="minorHAnsi"/>
                <w:color w:val="000000"/>
                <w:sz w:val="15"/>
                <w:szCs w:val="15"/>
                <w:lang w:eastAsia="en-NZ"/>
              </w:rPr>
              <w:t xml:space="preserve">any </w:t>
            </w:r>
            <w:r w:rsidR="00C73526" w:rsidRPr="00224A44">
              <w:rPr>
                <w:rFonts w:cstheme="minorHAnsi"/>
                <w:color w:val="000000"/>
                <w:sz w:val="15"/>
                <w:szCs w:val="15"/>
                <w:lang w:eastAsia="en-NZ"/>
              </w:rPr>
              <w:t>M</w:t>
            </w:r>
            <w:r w:rsidR="005D5237" w:rsidRPr="00224A44">
              <w:rPr>
                <w:rFonts w:cstheme="minorHAnsi"/>
                <w:color w:val="000000"/>
                <w:sz w:val="15"/>
                <w:szCs w:val="15"/>
                <w:lang w:eastAsia="en-NZ"/>
              </w:rPr>
              <w:t>y Vaccine Pass</w:t>
            </w:r>
            <w:r w:rsidR="00D57C13" w:rsidRPr="00224A44">
              <w:rPr>
                <w:rFonts w:cstheme="minorHAnsi"/>
                <w:color w:val="000000"/>
                <w:sz w:val="15"/>
                <w:szCs w:val="15"/>
                <w:lang w:eastAsia="en-NZ"/>
              </w:rPr>
              <w:t xml:space="preserve"> requirements </w:t>
            </w:r>
            <w:r w:rsidR="00631CBF" w:rsidRPr="00224A44">
              <w:rPr>
                <w:rFonts w:cstheme="minorHAnsi"/>
                <w:color w:val="000000"/>
                <w:sz w:val="15"/>
                <w:szCs w:val="15"/>
                <w:lang w:eastAsia="en-NZ"/>
              </w:rPr>
              <w:t>that the tertiary provider may</w:t>
            </w:r>
            <w:r w:rsidR="009409BB" w:rsidRPr="00224A44">
              <w:rPr>
                <w:rFonts w:cstheme="minorHAnsi"/>
                <w:color w:val="000000"/>
                <w:sz w:val="15"/>
                <w:szCs w:val="15"/>
                <w:lang w:eastAsia="en-NZ"/>
              </w:rPr>
              <w:t xml:space="preserve"> choose to</w:t>
            </w:r>
            <w:r w:rsidR="00631CBF" w:rsidRPr="00224A44">
              <w:rPr>
                <w:rFonts w:cstheme="minorHAnsi"/>
                <w:color w:val="000000"/>
                <w:sz w:val="15"/>
                <w:szCs w:val="15"/>
                <w:lang w:eastAsia="en-NZ"/>
              </w:rPr>
              <w:t xml:space="preserve"> put in place.</w:t>
            </w:r>
            <w:r w:rsidR="00D57C13" w:rsidRPr="00224A44">
              <w:rPr>
                <w:rFonts w:cstheme="minorHAnsi"/>
                <w:color w:val="000000"/>
                <w:sz w:val="15"/>
                <w:szCs w:val="15"/>
                <w:lang w:eastAsia="en-NZ"/>
              </w:rPr>
              <w:t xml:space="preserve"> </w:t>
            </w:r>
            <w:bookmarkEnd w:id="0"/>
            <w:r w:rsidR="006764AF" w:rsidRPr="00224A44">
              <w:rPr>
                <w:rFonts w:cstheme="minorHAnsi"/>
                <w:color w:val="000000"/>
                <w:sz w:val="15"/>
                <w:szCs w:val="15"/>
                <w:lang w:eastAsia="en-NZ"/>
              </w:rPr>
              <w:t xml:space="preserve">However, where a secondary student undertakes workplace-based learning as part of their course and that workplace has a vaccination requirement for its workers, then these vaccination requirements take </w:t>
            </w:r>
            <w:r w:rsidR="00D31E7A" w:rsidRPr="00224A44">
              <w:rPr>
                <w:rFonts w:cstheme="minorHAnsi"/>
                <w:color w:val="000000"/>
                <w:sz w:val="15"/>
                <w:szCs w:val="15"/>
                <w:lang w:eastAsia="en-NZ"/>
              </w:rPr>
              <w:t>precedence,</w:t>
            </w:r>
            <w:r w:rsidR="006764AF" w:rsidRPr="00224A44">
              <w:rPr>
                <w:rFonts w:cstheme="minorHAnsi"/>
                <w:color w:val="000000"/>
                <w:sz w:val="15"/>
                <w:szCs w:val="15"/>
                <w:lang w:eastAsia="en-NZ"/>
              </w:rPr>
              <w:t xml:space="preserve"> and the student must be vaccinated to participate. </w:t>
            </w:r>
            <w:r w:rsidR="00553BA2" w:rsidRPr="00224A44">
              <w:rPr>
                <w:rFonts w:cstheme="minorHAnsi"/>
                <w:color w:val="000000"/>
                <w:sz w:val="15"/>
                <w:szCs w:val="15"/>
                <w:lang w:eastAsia="en-NZ"/>
              </w:rPr>
              <w:t xml:space="preserve">This includes vaccination mandates imposed by government (e.g., for healthcare workers) and by a tertiary provider or business themselves (based on a workplace health and safety risk assessment). </w:t>
            </w:r>
            <w:r w:rsidR="00E025C0" w:rsidRPr="00224A44">
              <w:rPr>
                <w:rFonts w:cstheme="minorHAnsi"/>
                <w:sz w:val="15"/>
                <w:szCs w:val="15"/>
              </w:rPr>
              <w:t>P</w:t>
            </w:r>
            <w:r w:rsidR="008176E9" w:rsidRPr="00224A44">
              <w:rPr>
                <w:rFonts w:cstheme="minorHAnsi"/>
                <w:sz w:val="15"/>
                <w:szCs w:val="15"/>
              </w:rPr>
              <w:t xml:space="preserve">roviders </w:t>
            </w:r>
            <w:r w:rsidR="005E3D95" w:rsidRPr="00224A44">
              <w:rPr>
                <w:rFonts w:cstheme="minorHAnsi"/>
                <w:sz w:val="15"/>
                <w:szCs w:val="15"/>
              </w:rPr>
              <w:t xml:space="preserve">should take special precautions </w:t>
            </w:r>
            <w:r w:rsidR="006764AF" w:rsidRPr="00224A44">
              <w:rPr>
                <w:rFonts w:cstheme="minorHAnsi"/>
                <w:sz w:val="15"/>
                <w:szCs w:val="15"/>
              </w:rPr>
              <w:t>to protect all their</w:t>
            </w:r>
            <w:r w:rsidR="005E3D95" w:rsidRPr="00224A44">
              <w:rPr>
                <w:rFonts w:cstheme="minorHAnsi"/>
                <w:sz w:val="15"/>
                <w:szCs w:val="15"/>
              </w:rPr>
              <w:t xml:space="preserve"> students and</w:t>
            </w:r>
            <w:r w:rsidR="006764AF" w:rsidRPr="00224A44">
              <w:rPr>
                <w:rFonts w:cstheme="minorHAnsi"/>
                <w:sz w:val="15"/>
                <w:szCs w:val="15"/>
              </w:rPr>
              <w:t xml:space="preserve"> </w:t>
            </w:r>
            <w:r w:rsidR="005E3D95" w:rsidRPr="00224A44">
              <w:rPr>
                <w:rFonts w:cstheme="minorHAnsi"/>
                <w:sz w:val="15"/>
                <w:szCs w:val="15"/>
              </w:rPr>
              <w:t xml:space="preserve">teaching staff as appropriate for each </w:t>
            </w:r>
            <w:r w:rsidR="00E95A6E" w:rsidRPr="00224A44">
              <w:rPr>
                <w:rFonts w:cstheme="minorHAnsi"/>
                <w:sz w:val="15"/>
                <w:szCs w:val="15"/>
              </w:rPr>
              <w:t>setting</w:t>
            </w:r>
            <w:r w:rsidR="005E3D95" w:rsidRPr="00224A44">
              <w:rPr>
                <w:rFonts w:cstheme="minorHAnsi"/>
                <w:sz w:val="15"/>
                <w:szCs w:val="15"/>
              </w:rPr>
              <w:t xml:space="preserve">, which may include alignment with school </w:t>
            </w:r>
            <w:r w:rsidR="00E95A6E" w:rsidRPr="00224A44">
              <w:rPr>
                <w:rFonts w:cstheme="minorHAnsi"/>
                <w:sz w:val="15"/>
                <w:szCs w:val="15"/>
              </w:rPr>
              <w:t>guidance</w:t>
            </w:r>
            <w:r w:rsidR="008E547B" w:rsidRPr="00224A44">
              <w:rPr>
                <w:rFonts w:cstheme="minorHAnsi"/>
                <w:sz w:val="15"/>
                <w:szCs w:val="15"/>
              </w:rPr>
              <w:t xml:space="preserve">. </w:t>
            </w:r>
            <w:r w:rsidR="00E73938" w:rsidRPr="00224A44">
              <w:rPr>
                <w:rFonts w:cstheme="minorHAnsi"/>
                <w:sz w:val="15"/>
                <w:szCs w:val="15"/>
              </w:rPr>
              <w:t xml:space="preserve">Other measures could include requiring face </w:t>
            </w:r>
            <w:r w:rsidR="006764AF" w:rsidRPr="00224A44">
              <w:rPr>
                <w:rFonts w:cstheme="minorHAnsi"/>
                <w:sz w:val="15"/>
                <w:szCs w:val="15"/>
              </w:rPr>
              <w:t xml:space="preserve">masks </w:t>
            </w:r>
            <w:r w:rsidR="00A809E6" w:rsidRPr="00224A44">
              <w:rPr>
                <w:rFonts w:cstheme="minorHAnsi"/>
                <w:sz w:val="15"/>
                <w:szCs w:val="15"/>
              </w:rPr>
              <w:t>(</w:t>
            </w:r>
            <w:r w:rsidR="00B9086A" w:rsidRPr="00224A44">
              <w:rPr>
                <w:rFonts w:cstheme="minorHAnsi"/>
                <w:sz w:val="15"/>
                <w:szCs w:val="15"/>
              </w:rPr>
              <w:t>at</w:t>
            </w:r>
            <w:r w:rsidR="00A809E6" w:rsidRPr="00224A44">
              <w:rPr>
                <w:rFonts w:cstheme="minorHAnsi"/>
                <w:sz w:val="15"/>
                <w:szCs w:val="15"/>
              </w:rPr>
              <w:t xml:space="preserve"> Orange and Green) and physical distancing, </w:t>
            </w:r>
            <w:r w:rsidR="00E73938" w:rsidRPr="00224A44">
              <w:rPr>
                <w:rFonts w:cstheme="minorHAnsi"/>
                <w:sz w:val="15"/>
                <w:szCs w:val="15"/>
              </w:rPr>
              <w:t xml:space="preserve">and keeping class sizes small. </w:t>
            </w:r>
          </w:p>
        </w:tc>
      </w:tr>
      <w:tr w:rsidR="00D87C59" w:rsidRPr="00436174" w14:paraId="2349A650" w14:textId="77777777" w:rsidTr="005E618C">
        <w:tc>
          <w:tcPr>
            <w:tcW w:w="2835" w:type="dxa"/>
            <w:shd w:val="clear" w:color="auto" w:fill="D9D9D9" w:themeFill="background1" w:themeFillShade="D9"/>
          </w:tcPr>
          <w:p w14:paraId="6EA8027D" w14:textId="00439F10" w:rsidR="00FB5ED1" w:rsidRPr="0048216F" w:rsidRDefault="004D6AD9" w:rsidP="002F2FFE">
            <w:pPr>
              <w:spacing w:before="25" w:after="25"/>
              <w:rPr>
                <w:rFonts w:cstheme="minorHAnsi"/>
                <w:sz w:val="15"/>
                <w:szCs w:val="15"/>
              </w:rPr>
            </w:pPr>
            <w:r w:rsidRPr="0048216F">
              <w:rPr>
                <w:rFonts w:cstheme="minorHAnsi"/>
                <w:sz w:val="15"/>
                <w:szCs w:val="15"/>
              </w:rPr>
              <w:t>Staff working onsite</w:t>
            </w:r>
          </w:p>
        </w:tc>
        <w:tc>
          <w:tcPr>
            <w:tcW w:w="8080" w:type="dxa"/>
            <w:gridSpan w:val="2"/>
          </w:tcPr>
          <w:p w14:paraId="3E74796F" w14:textId="3D39CA28" w:rsidR="00FB5ED1" w:rsidRPr="0048216F" w:rsidRDefault="00E25DA4" w:rsidP="002F2FFE">
            <w:pPr>
              <w:spacing w:before="25" w:after="25"/>
              <w:rPr>
                <w:rFonts w:cstheme="minorHAnsi"/>
                <w:sz w:val="15"/>
                <w:szCs w:val="15"/>
              </w:rPr>
            </w:pPr>
            <w:r>
              <w:rPr>
                <w:rFonts w:cstheme="minorHAnsi"/>
                <w:sz w:val="15"/>
                <w:szCs w:val="15"/>
              </w:rPr>
              <w:t>S</w:t>
            </w:r>
            <w:r w:rsidR="00C905F2" w:rsidRPr="0048216F">
              <w:rPr>
                <w:rFonts w:cstheme="minorHAnsi"/>
                <w:sz w:val="15"/>
                <w:szCs w:val="15"/>
              </w:rPr>
              <w:t xml:space="preserve">taff </w:t>
            </w:r>
            <w:r>
              <w:rPr>
                <w:rFonts w:cstheme="minorHAnsi"/>
                <w:sz w:val="15"/>
                <w:szCs w:val="15"/>
              </w:rPr>
              <w:t>can be</w:t>
            </w:r>
            <w:r w:rsidR="00FB5ED1" w:rsidRPr="0048216F">
              <w:rPr>
                <w:rFonts w:cstheme="minorHAnsi"/>
                <w:sz w:val="15"/>
                <w:szCs w:val="15"/>
              </w:rPr>
              <w:t xml:space="preserve"> onsite</w:t>
            </w:r>
            <w:r>
              <w:rPr>
                <w:rFonts w:cstheme="minorHAnsi"/>
                <w:sz w:val="15"/>
                <w:szCs w:val="15"/>
              </w:rPr>
              <w:t xml:space="preserve"> in Green and Orange</w:t>
            </w:r>
            <w:r w:rsidR="00FB5ED1" w:rsidRPr="0048216F">
              <w:rPr>
                <w:rFonts w:cstheme="minorHAnsi"/>
                <w:sz w:val="15"/>
                <w:szCs w:val="15"/>
              </w:rPr>
              <w:t xml:space="preserve">, subject to their </w:t>
            </w:r>
            <w:r w:rsidR="009C6F09" w:rsidRPr="0048216F">
              <w:rPr>
                <w:rFonts w:cstheme="minorHAnsi"/>
                <w:sz w:val="15"/>
                <w:szCs w:val="15"/>
              </w:rPr>
              <w:t xml:space="preserve">provider’s </w:t>
            </w:r>
            <w:r w:rsidR="00FB5ED1" w:rsidRPr="0048216F">
              <w:rPr>
                <w:rFonts w:cstheme="minorHAnsi"/>
                <w:sz w:val="15"/>
                <w:szCs w:val="15"/>
              </w:rPr>
              <w:t>risk assessment and with relevant public health measures in place.</w:t>
            </w:r>
            <w:r w:rsidR="00E33C42" w:rsidRPr="0048216F">
              <w:rPr>
                <w:rFonts w:cstheme="minorHAnsi"/>
                <w:sz w:val="15"/>
                <w:szCs w:val="15"/>
              </w:rPr>
              <w:t xml:space="preserve"> </w:t>
            </w:r>
            <w:r w:rsidR="009C6F09" w:rsidRPr="0048216F">
              <w:rPr>
                <w:rFonts w:cstheme="minorHAnsi"/>
                <w:sz w:val="15"/>
                <w:szCs w:val="15"/>
              </w:rPr>
              <w:t xml:space="preserve">Providers </w:t>
            </w:r>
            <w:r w:rsidR="00E33C42" w:rsidRPr="0048216F">
              <w:rPr>
                <w:rFonts w:cstheme="minorHAnsi"/>
                <w:sz w:val="15"/>
                <w:szCs w:val="15"/>
              </w:rPr>
              <w:t xml:space="preserve">may consider remote </w:t>
            </w:r>
            <w:r w:rsidR="002A3395" w:rsidRPr="0048216F">
              <w:rPr>
                <w:rFonts w:cstheme="minorHAnsi"/>
                <w:sz w:val="15"/>
                <w:szCs w:val="15"/>
              </w:rPr>
              <w:t xml:space="preserve">working options as part of their risk assessment. </w:t>
            </w:r>
          </w:p>
        </w:tc>
        <w:tc>
          <w:tcPr>
            <w:tcW w:w="4256" w:type="dxa"/>
          </w:tcPr>
          <w:p w14:paraId="15637344" w14:textId="41D380D0" w:rsidR="00FB5ED1" w:rsidRPr="0048216F" w:rsidRDefault="007A19E1" w:rsidP="002F2FFE">
            <w:pPr>
              <w:spacing w:before="25" w:after="25"/>
              <w:rPr>
                <w:sz w:val="15"/>
                <w:szCs w:val="15"/>
              </w:rPr>
            </w:pPr>
            <w:r>
              <w:rPr>
                <w:sz w:val="15"/>
                <w:szCs w:val="15"/>
              </w:rPr>
              <w:t>At Red, workplaces can be open. For some workers, it may be appropriate to work from home.</w:t>
            </w:r>
            <w:r w:rsidR="00F3526E">
              <w:rPr>
                <w:sz w:val="15"/>
                <w:szCs w:val="15"/>
              </w:rPr>
              <w:t xml:space="preserve"> Providers</w:t>
            </w:r>
            <w:r w:rsidR="008C7A80">
              <w:rPr>
                <w:sz w:val="15"/>
                <w:szCs w:val="15"/>
              </w:rPr>
              <w:t xml:space="preserve"> should consider the option of having staff working from home as part of their health and safety </w:t>
            </w:r>
            <w:r w:rsidR="00A16AC1" w:rsidRPr="0048216F">
              <w:rPr>
                <w:sz w:val="15"/>
                <w:szCs w:val="15"/>
              </w:rPr>
              <w:t>risk assessment</w:t>
            </w:r>
            <w:r w:rsidR="00FB5ED1" w:rsidRPr="0048216F">
              <w:rPr>
                <w:sz w:val="15"/>
                <w:szCs w:val="15"/>
              </w:rPr>
              <w:t>.</w:t>
            </w:r>
          </w:p>
        </w:tc>
      </w:tr>
      <w:tr w:rsidR="00BE5E75" w:rsidRPr="00436174" w14:paraId="7CE32651" w14:textId="77777777" w:rsidTr="005E618C">
        <w:trPr>
          <w:trHeight w:val="328"/>
        </w:trPr>
        <w:tc>
          <w:tcPr>
            <w:tcW w:w="2835" w:type="dxa"/>
            <w:shd w:val="clear" w:color="auto" w:fill="D9D9D9" w:themeFill="background1" w:themeFillShade="D9"/>
          </w:tcPr>
          <w:p w14:paraId="5B7DFDCA" w14:textId="6A018506" w:rsidR="00FB5ED1" w:rsidRPr="0048216F" w:rsidRDefault="00FB5ED1" w:rsidP="002F2FFE">
            <w:pPr>
              <w:spacing w:before="25" w:after="25"/>
              <w:rPr>
                <w:rFonts w:cstheme="minorHAnsi"/>
                <w:sz w:val="15"/>
                <w:szCs w:val="15"/>
              </w:rPr>
            </w:pPr>
            <w:r w:rsidRPr="0048216F">
              <w:rPr>
                <w:rFonts w:cstheme="minorHAnsi"/>
                <w:sz w:val="15"/>
                <w:szCs w:val="15"/>
              </w:rPr>
              <w:t>On</w:t>
            </w:r>
            <w:r w:rsidR="00D10109">
              <w:rPr>
                <w:rFonts w:cstheme="minorHAnsi"/>
                <w:sz w:val="15"/>
                <w:szCs w:val="15"/>
              </w:rPr>
              <w:t>site</w:t>
            </w:r>
            <w:r w:rsidRPr="0048216F">
              <w:rPr>
                <w:rFonts w:cstheme="minorHAnsi"/>
                <w:sz w:val="15"/>
                <w:szCs w:val="15"/>
              </w:rPr>
              <w:t xml:space="preserve"> businesses and services</w:t>
            </w:r>
            <w:r w:rsidR="00DF5339" w:rsidRPr="0048216F">
              <w:rPr>
                <w:rFonts w:cstheme="minorHAnsi"/>
                <w:sz w:val="15"/>
                <w:szCs w:val="15"/>
              </w:rPr>
              <w:t xml:space="preserve"> (e</w:t>
            </w:r>
            <w:r w:rsidR="00017344" w:rsidRPr="0048216F">
              <w:rPr>
                <w:rFonts w:cstheme="minorHAnsi"/>
                <w:sz w:val="15"/>
                <w:szCs w:val="15"/>
              </w:rPr>
              <w:t>.</w:t>
            </w:r>
            <w:r w:rsidR="00DF5339" w:rsidRPr="0048216F">
              <w:rPr>
                <w:rFonts w:cstheme="minorHAnsi"/>
                <w:sz w:val="15"/>
                <w:szCs w:val="15"/>
              </w:rPr>
              <w:t>g</w:t>
            </w:r>
            <w:r w:rsidR="00017344" w:rsidRPr="0048216F">
              <w:rPr>
                <w:rFonts w:cstheme="minorHAnsi"/>
                <w:sz w:val="15"/>
                <w:szCs w:val="15"/>
              </w:rPr>
              <w:t>.</w:t>
            </w:r>
            <w:r w:rsidR="00DF5339" w:rsidRPr="0048216F">
              <w:rPr>
                <w:rFonts w:cstheme="minorHAnsi"/>
                <w:sz w:val="15"/>
                <w:szCs w:val="15"/>
              </w:rPr>
              <w:t xml:space="preserve"> retail, hospitality, gyms</w:t>
            </w:r>
            <w:r w:rsidR="003820E2">
              <w:rPr>
                <w:rFonts w:cstheme="minorHAnsi"/>
                <w:sz w:val="15"/>
                <w:szCs w:val="15"/>
              </w:rPr>
              <w:t>, close proximity businesses</w:t>
            </w:r>
            <w:r w:rsidR="00D12498" w:rsidRPr="0048216F">
              <w:rPr>
                <w:rFonts w:cstheme="minorHAnsi"/>
                <w:sz w:val="15"/>
                <w:szCs w:val="15"/>
              </w:rPr>
              <w:t>)</w:t>
            </w:r>
          </w:p>
        </w:tc>
        <w:tc>
          <w:tcPr>
            <w:tcW w:w="12336" w:type="dxa"/>
            <w:gridSpan w:val="3"/>
          </w:tcPr>
          <w:p w14:paraId="0B7E071A" w14:textId="08DB71E4" w:rsidR="003462D8" w:rsidRPr="0048216F" w:rsidRDefault="00C23367" w:rsidP="002F2FFE">
            <w:pPr>
              <w:spacing w:before="25" w:after="25"/>
              <w:rPr>
                <w:sz w:val="15"/>
                <w:szCs w:val="15"/>
              </w:rPr>
            </w:pPr>
            <w:r w:rsidRPr="0048216F">
              <w:rPr>
                <w:sz w:val="15"/>
                <w:szCs w:val="15"/>
              </w:rPr>
              <w:t>These businesses and services should o</w:t>
            </w:r>
            <w:r w:rsidR="00FB5ED1" w:rsidRPr="0048216F">
              <w:rPr>
                <w:sz w:val="15"/>
                <w:szCs w:val="15"/>
              </w:rPr>
              <w:t xml:space="preserve">perate subject to </w:t>
            </w:r>
            <w:r w:rsidR="00D449BC">
              <w:rPr>
                <w:sz w:val="15"/>
                <w:szCs w:val="15"/>
              </w:rPr>
              <w:t>guidance</w:t>
            </w:r>
            <w:r w:rsidR="00FB5ED1" w:rsidRPr="0048216F">
              <w:rPr>
                <w:sz w:val="15"/>
                <w:szCs w:val="15"/>
              </w:rPr>
              <w:t xml:space="preserve"> for the relevant </w:t>
            </w:r>
            <w:r w:rsidR="00FE061D" w:rsidRPr="0048216F">
              <w:rPr>
                <w:sz w:val="15"/>
                <w:szCs w:val="15"/>
              </w:rPr>
              <w:t>sector</w:t>
            </w:r>
            <w:r w:rsidR="00FB5ED1" w:rsidRPr="0048216F">
              <w:rPr>
                <w:sz w:val="15"/>
                <w:szCs w:val="15"/>
              </w:rPr>
              <w:t xml:space="preserve">. In some </w:t>
            </w:r>
            <w:r w:rsidR="00EF3663" w:rsidRPr="0048216F">
              <w:rPr>
                <w:sz w:val="15"/>
                <w:szCs w:val="15"/>
              </w:rPr>
              <w:t>sectors</w:t>
            </w:r>
            <w:r w:rsidR="00FB5ED1" w:rsidRPr="0048216F">
              <w:rPr>
                <w:sz w:val="15"/>
                <w:szCs w:val="15"/>
              </w:rPr>
              <w:t xml:space="preserve">, </w:t>
            </w:r>
            <w:r w:rsidR="00AC7B2C">
              <w:rPr>
                <w:sz w:val="15"/>
                <w:szCs w:val="15"/>
              </w:rPr>
              <w:t xml:space="preserve">government workforce </w:t>
            </w:r>
            <w:r w:rsidR="00FB5ED1" w:rsidRPr="0048216F">
              <w:rPr>
                <w:sz w:val="15"/>
                <w:szCs w:val="15"/>
              </w:rPr>
              <w:t>vaccination</w:t>
            </w:r>
            <w:r w:rsidR="00AC7B2C">
              <w:rPr>
                <w:sz w:val="15"/>
                <w:szCs w:val="15"/>
              </w:rPr>
              <w:t xml:space="preserve"> mandates may continue to apply. Furthermore, some businesses may</w:t>
            </w:r>
            <w:r w:rsidR="00874996">
              <w:rPr>
                <w:sz w:val="15"/>
                <w:szCs w:val="15"/>
              </w:rPr>
              <w:t xml:space="preserve"> require staff </w:t>
            </w:r>
            <w:r w:rsidR="00A9311B">
              <w:rPr>
                <w:sz w:val="15"/>
                <w:szCs w:val="15"/>
              </w:rPr>
              <w:t xml:space="preserve">in specific roles </w:t>
            </w:r>
            <w:r w:rsidR="00874996">
              <w:rPr>
                <w:sz w:val="15"/>
                <w:szCs w:val="15"/>
              </w:rPr>
              <w:t>to be vaccinated</w:t>
            </w:r>
            <w:r w:rsidR="00A9311B">
              <w:rPr>
                <w:sz w:val="15"/>
                <w:szCs w:val="15"/>
              </w:rPr>
              <w:t>,</w:t>
            </w:r>
            <w:r w:rsidR="00874996">
              <w:rPr>
                <w:sz w:val="15"/>
                <w:szCs w:val="15"/>
              </w:rPr>
              <w:t xml:space="preserve"> in line with </w:t>
            </w:r>
            <w:r w:rsidR="00A9311B">
              <w:rPr>
                <w:sz w:val="15"/>
                <w:szCs w:val="15"/>
              </w:rPr>
              <w:t xml:space="preserve">a workplace health and safety risk assessment, and some may require </w:t>
            </w:r>
            <w:r w:rsidR="00763A5F">
              <w:rPr>
                <w:sz w:val="15"/>
                <w:szCs w:val="15"/>
              </w:rPr>
              <w:t xml:space="preserve">customers to display a </w:t>
            </w:r>
            <w:r w:rsidR="00D31E7A">
              <w:rPr>
                <w:sz w:val="15"/>
                <w:szCs w:val="15"/>
              </w:rPr>
              <w:t>My Vaccine Pass</w:t>
            </w:r>
            <w:r w:rsidR="00763A5F">
              <w:rPr>
                <w:sz w:val="15"/>
                <w:szCs w:val="15"/>
              </w:rPr>
              <w:t xml:space="preserve"> as a condition of entry. </w:t>
            </w:r>
            <w:r w:rsidR="00FB5ED1" w:rsidRPr="0048216F">
              <w:rPr>
                <w:sz w:val="15"/>
                <w:szCs w:val="15"/>
              </w:rPr>
              <w:t>See</w:t>
            </w:r>
            <w:r w:rsidR="00220DB1" w:rsidRPr="0048216F">
              <w:rPr>
                <w:sz w:val="15"/>
                <w:szCs w:val="15"/>
              </w:rPr>
              <w:t xml:space="preserve"> the </w:t>
            </w:r>
            <w:hyperlink r:id="rId8" w:history="1">
              <w:r w:rsidR="00CD1F72" w:rsidRPr="00CD1F72">
                <w:rPr>
                  <w:rStyle w:val="Hyperlink"/>
                  <w:sz w:val="15"/>
                  <w:szCs w:val="15"/>
                </w:rPr>
                <w:t>business.govt.nz</w:t>
              </w:r>
            </w:hyperlink>
            <w:r w:rsidR="00CD1F72">
              <w:rPr>
                <w:sz w:val="15"/>
                <w:szCs w:val="15"/>
              </w:rPr>
              <w:t xml:space="preserve"> </w:t>
            </w:r>
            <w:r w:rsidR="00220DB1" w:rsidRPr="0048216F">
              <w:rPr>
                <w:sz w:val="15"/>
                <w:szCs w:val="15"/>
              </w:rPr>
              <w:t>website</w:t>
            </w:r>
            <w:r w:rsidR="00FB5ED1" w:rsidRPr="0048216F">
              <w:rPr>
                <w:sz w:val="15"/>
                <w:szCs w:val="15"/>
              </w:rPr>
              <w:t xml:space="preserve"> </w:t>
            </w:r>
            <w:r w:rsidR="00DF5339" w:rsidRPr="0048216F">
              <w:rPr>
                <w:sz w:val="15"/>
                <w:szCs w:val="15"/>
              </w:rPr>
              <w:t xml:space="preserve">for </w:t>
            </w:r>
            <w:r w:rsidR="00D12498" w:rsidRPr="0048216F">
              <w:rPr>
                <w:sz w:val="15"/>
                <w:szCs w:val="15"/>
              </w:rPr>
              <w:t xml:space="preserve">relevant industry guidelines. </w:t>
            </w:r>
          </w:p>
        </w:tc>
      </w:tr>
      <w:tr w:rsidR="00E64943" w:rsidRPr="00436174" w14:paraId="20D6706D" w14:textId="77777777" w:rsidTr="005E618C">
        <w:trPr>
          <w:trHeight w:val="375"/>
        </w:trPr>
        <w:tc>
          <w:tcPr>
            <w:tcW w:w="2835" w:type="dxa"/>
            <w:shd w:val="clear" w:color="auto" w:fill="D9D9D9" w:themeFill="background1" w:themeFillShade="D9"/>
          </w:tcPr>
          <w:p w14:paraId="55D23360" w14:textId="0B4404E0" w:rsidR="00E64943" w:rsidRPr="0048216F" w:rsidRDefault="00E64943" w:rsidP="002F2FFE">
            <w:pPr>
              <w:spacing w:before="25" w:after="25"/>
              <w:rPr>
                <w:rFonts w:cstheme="minorHAnsi"/>
                <w:sz w:val="15"/>
                <w:szCs w:val="15"/>
              </w:rPr>
            </w:pPr>
            <w:r w:rsidRPr="0048216F">
              <w:rPr>
                <w:rFonts w:cstheme="minorHAnsi"/>
                <w:sz w:val="15"/>
                <w:szCs w:val="15"/>
              </w:rPr>
              <w:t>On</w:t>
            </w:r>
            <w:r w:rsidR="00B96570">
              <w:rPr>
                <w:rFonts w:cstheme="minorHAnsi"/>
                <w:sz w:val="15"/>
                <w:szCs w:val="15"/>
              </w:rPr>
              <w:t>site</w:t>
            </w:r>
            <w:r w:rsidR="00326A5D" w:rsidRPr="0048216F">
              <w:rPr>
                <w:rFonts w:cstheme="minorHAnsi"/>
                <w:sz w:val="15"/>
                <w:szCs w:val="15"/>
              </w:rPr>
              <w:t xml:space="preserve"> </w:t>
            </w:r>
            <w:r w:rsidR="003716C3" w:rsidRPr="000A1D68">
              <w:rPr>
                <w:rFonts w:cstheme="minorHAnsi"/>
                <w:sz w:val="15"/>
                <w:szCs w:val="15"/>
              </w:rPr>
              <w:t>locations</w:t>
            </w:r>
            <w:r w:rsidR="007E1BD3" w:rsidRPr="0048216F">
              <w:rPr>
                <w:rFonts w:cstheme="minorHAnsi"/>
                <w:sz w:val="15"/>
                <w:szCs w:val="15"/>
              </w:rPr>
              <w:t xml:space="preserve"> </w:t>
            </w:r>
            <w:r w:rsidR="00B16C63" w:rsidRPr="0048216F">
              <w:rPr>
                <w:rFonts w:cstheme="minorHAnsi"/>
                <w:sz w:val="15"/>
                <w:szCs w:val="15"/>
              </w:rPr>
              <w:t xml:space="preserve">where </w:t>
            </w:r>
            <w:r w:rsidR="00B3401D" w:rsidRPr="0048216F">
              <w:rPr>
                <w:rFonts w:cstheme="minorHAnsi"/>
                <w:sz w:val="15"/>
                <w:szCs w:val="15"/>
              </w:rPr>
              <w:t xml:space="preserve">vaccine passes </w:t>
            </w:r>
            <w:r w:rsidR="00A43A04" w:rsidRPr="0048216F">
              <w:rPr>
                <w:rFonts w:cstheme="minorHAnsi"/>
                <w:sz w:val="15"/>
                <w:szCs w:val="15"/>
              </w:rPr>
              <w:t xml:space="preserve">cannot </w:t>
            </w:r>
            <w:r w:rsidR="00C967CA" w:rsidRPr="0048216F">
              <w:rPr>
                <w:rFonts w:cstheme="minorHAnsi"/>
                <w:sz w:val="15"/>
                <w:szCs w:val="15"/>
              </w:rPr>
              <w:t>be required for access</w:t>
            </w:r>
          </w:p>
        </w:tc>
        <w:tc>
          <w:tcPr>
            <w:tcW w:w="12336" w:type="dxa"/>
            <w:gridSpan w:val="3"/>
          </w:tcPr>
          <w:p w14:paraId="7C09D8FE" w14:textId="65ACEA1A" w:rsidR="00E64943" w:rsidRPr="0048216F" w:rsidRDefault="0044594A" w:rsidP="002F2FFE">
            <w:pPr>
              <w:spacing w:before="25" w:after="25"/>
              <w:rPr>
                <w:rFonts w:cstheme="minorHAnsi"/>
                <w:sz w:val="15"/>
                <w:szCs w:val="15"/>
              </w:rPr>
            </w:pPr>
            <w:r>
              <w:rPr>
                <w:rFonts w:cstheme="minorHAnsi"/>
                <w:sz w:val="15"/>
                <w:szCs w:val="15"/>
              </w:rPr>
              <w:t xml:space="preserve">My </w:t>
            </w:r>
            <w:r w:rsidR="002C35E0" w:rsidRPr="0048216F">
              <w:rPr>
                <w:rFonts w:cstheme="minorHAnsi"/>
                <w:sz w:val="15"/>
                <w:szCs w:val="15"/>
              </w:rPr>
              <w:t xml:space="preserve">Vaccine </w:t>
            </w:r>
            <w:r>
              <w:rPr>
                <w:rFonts w:cstheme="minorHAnsi"/>
                <w:sz w:val="15"/>
                <w:szCs w:val="15"/>
              </w:rPr>
              <w:t>P</w:t>
            </w:r>
            <w:r w:rsidR="002C35E0" w:rsidRPr="0048216F">
              <w:rPr>
                <w:rFonts w:cstheme="minorHAnsi"/>
                <w:sz w:val="15"/>
                <w:szCs w:val="15"/>
              </w:rPr>
              <w:t xml:space="preserve">asses </w:t>
            </w:r>
            <w:r w:rsidR="00920A7B" w:rsidRPr="0048216F">
              <w:rPr>
                <w:rFonts w:cstheme="minorHAnsi"/>
                <w:sz w:val="15"/>
                <w:szCs w:val="15"/>
              </w:rPr>
              <w:t xml:space="preserve">cannot be required for access to </w:t>
            </w:r>
            <w:r w:rsidR="00384239" w:rsidRPr="0048216F">
              <w:rPr>
                <w:rFonts w:cstheme="minorHAnsi"/>
                <w:sz w:val="15"/>
                <w:szCs w:val="15"/>
              </w:rPr>
              <w:t xml:space="preserve">certain </w:t>
            </w:r>
            <w:r w:rsidR="003716C3" w:rsidRPr="0048216F">
              <w:rPr>
                <w:rFonts w:cstheme="minorHAnsi"/>
                <w:sz w:val="15"/>
                <w:szCs w:val="15"/>
              </w:rPr>
              <w:t>locations</w:t>
            </w:r>
            <w:r w:rsidR="00384239" w:rsidRPr="0048216F">
              <w:rPr>
                <w:rFonts w:cstheme="minorHAnsi"/>
                <w:sz w:val="15"/>
                <w:szCs w:val="15"/>
              </w:rPr>
              <w:t xml:space="preserve">, including </w:t>
            </w:r>
            <w:r w:rsidR="000D0A6E">
              <w:rPr>
                <w:rFonts w:cstheme="minorHAnsi"/>
                <w:sz w:val="15"/>
                <w:szCs w:val="15"/>
              </w:rPr>
              <w:t xml:space="preserve">many </w:t>
            </w:r>
            <w:r w:rsidR="00384239" w:rsidRPr="0048216F">
              <w:rPr>
                <w:rFonts w:cstheme="minorHAnsi"/>
                <w:sz w:val="15"/>
                <w:szCs w:val="15"/>
              </w:rPr>
              <w:t>health and disability services</w:t>
            </w:r>
            <w:r w:rsidR="00985261" w:rsidRPr="0048216F">
              <w:rPr>
                <w:rFonts w:cstheme="minorHAnsi"/>
                <w:sz w:val="15"/>
                <w:szCs w:val="15"/>
              </w:rPr>
              <w:t>,</w:t>
            </w:r>
            <w:r w:rsidR="00384239" w:rsidRPr="0048216F">
              <w:rPr>
                <w:rFonts w:cstheme="minorHAnsi"/>
                <w:sz w:val="15"/>
                <w:szCs w:val="15"/>
              </w:rPr>
              <w:t xml:space="preserve"> </w:t>
            </w:r>
            <w:r w:rsidR="00444D42" w:rsidRPr="0048216F">
              <w:rPr>
                <w:rFonts w:cstheme="minorHAnsi"/>
                <w:sz w:val="15"/>
                <w:szCs w:val="15"/>
              </w:rPr>
              <w:t xml:space="preserve">all licensed </w:t>
            </w:r>
            <w:r w:rsidR="004045E4" w:rsidRPr="0048216F">
              <w:rPr>
                <w:rFonts w:cstheme="minorHAnsi"/>
                <w:sz w:val="15"/>
                <w:szCs w:val="15"/>
              </w:rPr>
              <w:t xml:space="preserve">early childhood education services and registered schools, </w:t>
            </w:r>
            <w:r w:rsidR="00384239" w:rsidRPr="0048216F">
              <w:rPr>
                <w:rFonts w:cstheme="minorHAnsi"/>
                <w:sz w:val="15"/>
                <w:szCs w:val="15"/>
              </w:rPr>
              <w:t xml:space="preserve">dairies, </w:t>
            </w:r>
            <w:r w:rsidR="00BE21AA" w:rsidRPr="0048216F">
              <w:rPr>
                <w:rFonts w:cstheme="minorHAnsi"/>
                <w:sz w:val="15"/>
                <w:szCs w:val="15"/>
              </w:rPr>
              <w:t xml:space="preserve">and </w:t>
            </w:r>
            <w:r w:rsidR="00384239" w:rsidRPr="0048216F">
              <w:rPr>
                <w:rFonts w:cstheme="minorHAnsi"/>
                <w:sz w:val="15"/>
                <w:szCs w:val="15"/>
              </w:rPr>
              <w:t>pharmacies</w:t>
            </w:r>
            <w:r w:rsidR="00BE21AA" w:rsidRPr="0048216F">
              <w:rPr>
                <w:rFonts w:cstheme="minorHAnsi"/>
                <w:sz w:val="15"/>
                <w:szCs w:val="15"/>
              </w:rPr>
              <w:t xml:space="preserve">. </w:t>
            </w:r>
            <w:r w:rsidR="00423ABB" w:rsidRPr="0048216F">
              <w:rPr>
                <w:rFonts w:cstheme="minorHAnsi"/>
                <w:sz w:val="15"/>
                <w:szCs w:val="15"/>
              </w:rPr>
              <w:t>See</w:t>
            </w:r>
            <w:r w:rsidR="00220DB1" w:rsidRPr="0048216F">
              <w:rPr>
                <w:rFonts w:cstheme="minorHAnsi"/>
                <w:sz w:val="15"/>
                <w:szCs w:val="15"/>
              </w:rPr>
              <w:t xml:space="preserve"> the </w:t>
            </w:r>
            <w:hyperlink r:id="rId9" w:history="1">
              <w:r w:rsidR="00340EEE" w:rsidRPr="00340EEE">
                <w:rPr>
                  <w:rStyle w:val="Hyperlink"/>
                  <w:rFonts w:cstheme="minorHAnsi"/>
                  <w:sz w:val="15"/>
                  <w:szCs w:val="15"/>
                </w:rPr>
                <w:t>Unite against COVID-19 (covid19.govt.nz)</w:t>
              </w:r>
            </w:hyperlink>
            <w:r w:rsidR="00340EEE">
              <w:rPr>
                <w:rFonts w:cstheme="minorHAnsi"/>
                <w:sz w:val="15"/>
                <w:szCs w:val="15"/>
              </w:rPr>
              <w:t xml:space="preserve"> </w:t>
            </w:r>
            <w:r w:rsidR="00BD3732" w:rsidRPr="0048216F">
              <w:rPr>
                <w:rFonts w:cstheme="minorHAnsi"/>
                <w:sz w:val="15"/>
                <w:szCs w:val="15"/>
              </w:rPr>
              <w:t>w</w:t>
            </w:r>
            <w:r w:rsidR="00220DB1" w:rsidRPr="0048216F">
              <w:rPr>
                <w:rFonts w:cstheme="minorHAnsi"/>
                <w:sz w:val="15"/>
                <w:szCs w:val="15"/>
              </w:rPr>
              <w:t>ebsite</w:t>
            </w:r>
            <w:r w:rsidR="00423ABB" w:rsidRPr="0048216F">
              <w:rPr>
                <w:rFonts w:cstheme="minorHAnsi"/>
                <w:sz w:val="15"/>
                <w:szCs w:val="15"/>
              </w:rPr>
              <w:t xml:space="preserve"> </w:t>
            </w:r>
            <w:r w:rsidR="00423ABB" w:rsidRPr="0048216F">
              <w:rPr>
                <w:sz w:val="15"/>
                <w:szCs w:val="15"/>
              </w:rPr>
              <w:t xml:space="preserve">for </w:t>
            </w:r>
            <w:r w:rsidR="00231B7F" w:rsidRPr="0048216F">
              <w:rPr>
                <w:sz w:val="15"/>
                <w:szCs w:val="15"/>
              </w:rPr>
              <w:t xml:space="preserve">the full list of </w:t>
            </w:r>
            <w:r w:rsidR="00B3401D" w:rsidRPr="0048216F">
              <w:rPr>
                <w:sz w:val="15"/>
                <w:szCs w:val="15"/>
              </w:rPr>
              <w:t xml:space="preserve">vaccine pass </w:t>
            </w:r>
            <w:r w:rsidR="00231B7F" w:rsidRPr="0048216F">
              <w:rPr>
                <w:sz w:val="15"/>
                <w:szCs w:val="15"/>
              </w:rPr>
              <w:t xml:space="preserve">prohibited </w:t>
            </w:r>
            <w:r w:rsidR="003716C3" w:rsidRPr="0048216F">
              <w:rPr>
                <w:sz w:val="15"/>
                <w:szCs w:val="15"/>
              </w:rPr>
              <w:t>locations</w:t>
            </w:r>
            <w:r w:rsidR="00231B7F" w:rsidRPr="0048216F">
              <w:rPr>
                <w:sz w:val="15"/>
                <w:szCs w:val="15"/>
              </w:rPr>
              <w:t>.</w:t>
            </w:r>
          </w:p>
        </w:tc>
      </w:tr>
      <w:tr w:rsidR="003739E0" w:rsidRPr="00436174" w14:paraId="1B3C8B91" w14:textId="77777777" w:rsidTr="005E618C">
        <w:tc>
          <w:tcPr>
            <w:tcW w:w="2835" w:type="dxa"/>
            <w:shd w:val="clear" w:color="auto" w:fill="D9D9D9" w:themeFill="background1" w:themeFillShade="D9"/>
          </w:tcPr>
          <w:p w14:paraId="3141E245" w14:textId="030BA712" w:rsidR="003739E0" w:rsidRPr="0048216F" w:rsidRDefault="003739E0" w:rsidP="002F2FFE">
            <w:pPr>
              <w:spacing w:before="25" w:after="25"/>
              <w:rPr>
                <w:sz w:val="15"/>
                <w:szCs w:val="15"/>
              </w:rPr>
            </w:pPr>
            <w:r w:rsidRPr="0048216F">
              <w:rPr>
                <w:sz w:val="15"/>
                <w:szCs w:val="15"/>
              </w:rPr>
              <w:t xml:space="preserve">Events </w:t>
            </w:r>
            <w:r w:rsidR="008B7E62">
              <w:rPr>
                <w:sz w:val="15"/>
                <w:szCs w:val="15"/>
              </w:rPr>
              <w:t>(e.g.</w:t>
            </w:r>
            <w:r w:rsidRPr="0048216F">
              <w:rPr>
                <w:sz w:val="15"/>
                <w:szCs w:val="15"/>
              </w:rPr>
              <w:t xml:space="preserve"> gr</w:t>
            </w:r>
            <w:r w:rsidR="003D03F4" w:rsidRPr="0048216F">
              <w:rPr>
                <w:sz w:val="15"/>
                <w:szCs w:val="15"/>
              </w:rPr>
              <w:t>a</w:t>
            </w:r>
            <w:r w:rsidRPr="0048216F">
              <w:rPr>
                <w:sz w:val="15"/>
                <w:szCs w:val="15"/>
              </w:rPr>
              <w:t>duation, conferences</w:t>
            </w:r>
            <w:r w:rsidR="00CC2722">
              <w:rPr>
                <w:sz w:val="15"/>
                <w:szCs w:val="15"/>
              </w:rPr>
              <w:t>)</w:t>
            </w:r>
            <w:r w:rsidR="009055F8">
              <w:rPr>
                <w:sz w:val="15"/>
                <w:szCs w:val="15"/>
              </w:rPr>
              <w:t xml:space="preserve"> and gatherings</w:t>
            </w:r>
          </w:p>
        </w:tc>
        <w:tc>
          <w:tcPr>
            <w:tcW w:w="12336" w:type="dxa"/>
            <w:gridSpan w:val="3"/>
          </w:tcPr>
          <w:p w14:paraId="502AF66D" w14:textId="4FB60216" w:rsidR="003739E0" w:rsidRPr="0048216F" w:rsidRDefault="003739E0" w:rsidP="002F2FFE">
            <w:pPr>
              <w:spacing w:before="25" w:after="25"/>
              <w:rPr>
                <w:rFonts w:cstheme="minorHAnsi"/>
                <w:sz w:val="15"/>
                <w:szCs w:val="15"/>
              </w:rPr>
            </w:pPr>
            <w:r w:rsidRPr="0048216F">
              <w:rPr>
                <w:rFonts w:cstheme="minorHAnsi"/>
                <w:sz w:val="15"/>
                <w:szCs w:val="15"/>
              </w:rPr>
              <w:t xml:space="preserve">See the </w:t>
            </w:r>
            <w:r w:rsidR="008F7BA4" w:rsidRPr="0048216F">
              <w:rPr>
                <w:rFonts w:cstheme="minorHAnsi"/>
                <w:sz w:val="15"/>
                <w:szCs w:val="15"/>
              </w:rPr>
              <w:t xml:space="preserve">guidance on </w:t>
            </w:r>
            <w:r w:rsidR="00C92C0B">
              <w:rPr>
                <w:rFonts w:cstheme="minorHAnsi"/>
                <w:sz w:val="15"/>
                <w:szCs w:val="15"/>
              </w:rPr>
              <w:t>events and gathering</w:t>
            </w:r>
            <w:r w:rsidR="00A1404F">
              <w:rPr>
                <w:rFonts w:cstheme="minorHAnsi"/>
                <w:sz w:val="15"/>
                <w:szCs w:val="15"/>
              </w:rPr>
              <w:t>s</w:t>
            </w:r>
            <w:r w:rsidR="00B00B1C" w:rsidRPr="0048216F">
              <w:rPr>
                <w:rFonts w:cstheme="minorHAnsi"/>
                <w:sz w:val="15"/>
                <w:szCs w:val="15"/>
              </w:rPr>
              <w:t xml:space="preserve"> at the different traffic light settings</w:t>
            </w:r>
            <w:r w:rsidRPr="0048216F">
              <w:rPr>
                <w:rFonts w:cstheme="minorHAnsi"/>
                <w:sz w:val="15"/>
                <w:szCs w:val="15"/>
              </w:rPr>
              <w:t xml:space="preserve"> on the </w:t>
            </w:r>
            <w:hyperlink r:id="rId10" w:history="1">
              <w:r w:rsidR="00CC2722" w:rsidRPr="00070BFA">
                <w:rPr>
                  <w:rStyle w:val="Hyperlink"/>
                  <w:rFonts w:cstheme="minorHAnsi"/>
                  <w:sz w:val="15"/>
                  <w:szCs w:val="15"/>
                </w:rPr>
                <w:t>Unite Against COVID</w:t>
              </w:r>
              <w:r w:rsidR="00070BFA" w:rsidRPr="00070BFA">
                <w:rPr>
                  <w:rStyle w:val="Hyperlink"/>
                  <w:rFonts w:cstheme="minorHAnsi"/>
                  <w:sz w:val="15"/>
                  <w:szCs w:val="15"/>
                </w:rPr>
                <w:t xml:space="preserve"> (covid.19.govt.nz)</w:t>
              </w:r>
            </w:hyperlink>
            <w:r w:rsidRPr="0048216F">
              <w:rPr>
                <w:rFonts w:cstheme="minorHAnsi"/>
                <w:sz w:val="15"/>
                <w:szCs w:val="15"/>
              </w:rPr>
              <w:t xml:space="preserve"> website.</w:t>
            </w:r>
          </w:p>
        </w:tc>
      </w:tr>
      <w:tr w:rsidR="00BE5E75" w:rsidRPr="00436174" w14:paraId="3FD7C424" w14:textId="77777777" w:rsidTr="005E618C">
        <w:tc>
          <w:tcPr>
            <w:tcW w:w="2835" w:type="dxa"/>
            <w:shd w:val="clear" w:color="auto" w:fill="D9D9D9" w:themeFill="background1" w:themeFillShade="D9"/>
          </w:tcPr>
          <w:p w14:paraId="3DD11466" w14:textId="4D6BC717" w:rsidR="00DE7852" w:rsidRPr="0048216F" w:rsidRDefault="00DE7852" w:rsidP="002F2FFE">
            <w:pPr>
              <w:spacing w:before="25" w:after="25"/>
              <w:rPr>
                <w:rFonts w:cstheme="minorHAnsi"/>
                <w:sz w:val="15"/>
                <w:szCs w:val="15"/>
              </w:rPr>
            </w:pPr>
            <w:r w:rsidRPr="0048216F">
              <w:rPr>
                <w:rFonts w:cstheme="minorHAnsi"/>
                <w:sz w:val="15"/>
                <w:szCs w:val="15"/>
              </w:rPr>
              <w:t>Student and staff travel</w:t>
            </w:r>
          </w:p>
        </w:tc>
        <w:tc>
          <w:tcPr>
            <w:tcW w:w="12336" w:type="dxa"/>
            <w:gridSpan w:val="3"/>
          </w:tcPr>
          <w:p w14:paraId="094F3CAF" w14:textId="27BE0C12" w:rsidR="00DE7852" w:rsidRPr="0048216F" w:rsidRDefault="00B226FB" w:rsidP="002F2FFE">
            <w:pPr>
              <w:spacing w:before="25" w:after="25"/>
              <w:rPr>
                <w:rFonts w:cstheme="minorHAnsi"/>
                <w:sz w:val="15"/>
                <w:szCs w:val="15"/>
              </w:rPr>
            </w:pPr>
            <w:r w:rsidRPr="0048216F">
              <w:rPr>
                <w:rFonts w:cstheme="minorHAnsi"/>
                <w:sz w:val="15"/>
                <w:szCs w:val="15"/>
              </w:rPr>
              <w:t xml:space="preserve">Travel follows the general </w:t>
            </w:r>
            <w:r w:rsidR="00ED13B7">
              <w:rPr>
                <w:rFonts w:cstheme="minorHAnsi"/>
                <w:sz w:val="15"/>
                <w:szCs w:val="15"/>
              </w:rPr>
              <w:t>guidance</w:t>
            </w:r>
            <w:r w:rsidR="00456496">
              <w:rPr>
                <w:rFonts w:cstheme="minorHAnsi"/>
                <w:sz w:val="15"/>
                <w:szCs w:val="15"/>
              </w:rPr>
              <w:t>,</w:t>
            </w:r>
            <w:r w:rsidR="00ED13B7" w:rsidRPr="0048216F">
              <w:rPr>
                <w:rFonts w:cstheme="minorHAnsi"/>
                <w:sz w:val="15"/>
                <w:szCs w:val="15"/>
              </w:rPr>
              <w:t xml:space="preserve"> </w:t>
            </w:r>
            <w:r w:rsidR="00456496">
              <w:rPr>
                <w:rFonts w:cstheme="minorHAnsi"/>
                <w:sz w:val="15"/>
                <w:szCs w:val="15"/>
              </w:rPr>
              <w:t>a</w:t>
            </w:r>
            <w:r w:rsidR="00F22A70" w:rsidRPr="0048216F">
              <w:rPr>
                <w:rFonts w:cstheme="minorHAnsi"/>
                <w:sz w:val="15"/>
                <w:szCs w:val="15"/>
              </w:rPr>
              <w:t>vailable</w:t>
            </w:r>
            <w:r w:rsidR="007B24F7" w:rsidRPr="0048216F">
              <w:rPr>
                <w:rFonts w:cstheme="minorHAnsi"/>
                <w:sz w:val="15"/>
                <w:szCs w:val="15"/>
              </w:rPr>
              <w:t xml:space="preserve"> on the</w:t>
            </w:r>
            <w:r w:rsidR="00F22A70" w:rsidRPr="0048216F">
              <w:rPr>
                <w:rFonts w:cstheme="minorHAnsi"/>
                <w:sz w:val="15"/>
                <w:szCs w:val="15"/>
              </w:rPr>
              <w:t xml:space="preserve"> </w:t>
            </w:r>
            <w:hyperlink r:id="rId11" w:history="1">
              <w:r w:rsidR="00AF34FC" w:rsidRPr="00AF34FC">
                <w:rPr>
                  <w:rStyle w:val="Hyperlink"/>
                  <w:rFonts w:cstheme="minorHAnsi"/>
                  <w:sz w:val="15"/>
                  <w:szCs w:val="15"/>
                </w:rPr>
                <w:t>Unite against COVID-19 (covid19.govt.nz)</w:t>
              </w:r>
            </w:hyperlink>
            <w:r w:rsidR="00AF34FC">
              <w:rPr>
                <w:rFonts w:cstheme="minorHAnsi"/>
                <w:sz w:val="15"/>
                <w:szCs w:val="15"/>
              </w:rPr>
              <w:t xml:space="preserve"> </w:t>
            </w:r>
            <w:r w:rsidR="007B24F7" w:rsidRPr="0048216F">
              <w:rPr>
                <w:rFonts w:cstheme="minorHAnsi"/>
                <w:sz w:val="15"/>
                <w:szCs w:val="15"/>
              </w:rPr>
              <w:t>website.</w:t>
            </w:r>
          </w:p>
        </w:tc>
      </w:tr>
      <w:tr w:rsidR="00BE5E75" w:rsidRPr="00436174" w14:paraId="52EC8031" w14:textId="77777777" w:rsidTr="005E618C">
        <w:tc>
          <w:tcPr>
            <w:tcW w:w="2835" w:type="dxa"/>
            <w:shd w:val="clear" w:color="auto" w:fill="D9D9D9" w:themeFill="background1" w:themeFillShade="D9"/>
          </w:tcPr>
          <w:p w14:paraId="538C6641" w14:textId="10322869" w:rsidR="00843FD0" w:rsidRPr="0048216F" w:rsidRDefault="00843FD0" w:rsidP="002F2FFE">
            <w:pPr>
              <w:spacing w:before="25" w:after="25"/>
              <w:rPr>
                <w:rFonts w:cstheme="minorHAnsi"/>
                <w:sz w:val="15"/>
                <w:szCs w:val="15"/>
              </w:rPr>
            </w:pPr>
            <w:r w:rsidRPr="0048216F">
              <w:rPr>
                <w:rFonts w:cstheme="minorHAnsi"/>
                <w:sz w:val="15"/>
                <w:szCs w:val="15"/>
              </w:rPr>
              <w:t>Student accommodation</w:t>
            </w:r>
          </w:p>
        </w:tc>
        <w:tc>
          <w:tcPr>
            <w:tcW w:w="12336" w:type="dxa"/>
            <w:gridSpan w:val="3"/>
          </w:tcPr>
          <w:p w14:paraId="40031FEC" w14:textId="1F8004D7" w:rsidR="00EB2852" w:rsidRPr="0048216F" w:rsidRDefault="00CF4638" w:rsidP="002F2FFE">
            <w:pPr>
              <w:spacing w:before="25" w:after="25"/>
              <w:rPr>
                <w:sz w:val="15"/>
                <w:szCs w:val="15"/>
              </w:rPr>
            </w:pPr>
            <w:r w:rsidRPr="0048216F">
              <w:rPr>
                <w:sz w:val="15"/>
                <w:szCs w:val="15"/>
              </w:rPr>
              <w:t>We suggest that p</w:t>
            </w:r>
            <w:r w:rsidR="000F6143" w:rsidRPr="0048216F">
              <w:rPr>
                <w:sz w:val="15"/>
                <w:szCs w:val="15"/>
              </w:rPr>
              <w:t xml:space="preserve">roviders undertake a thorough risk assessment of their accommodation and develop proposals for operating that include clear systems and practices for staff and resident wellbeing and safety at </w:t>
            </w:r>
            <w:r w:rsidR="006162AC">
              <w:rPr>
                <w:sz w:val="15"/>
                <w:szCs w:val="15"/>
              </w:rPr>
              <w:t>G</w:t>
            </w:r>
            <w:r w:rsidR="006162AC" w:rsidRPr="006162AC">
              <w:rPr>
                <w:sz w:val="15"/>
                <w:szCs w:val="15"/>
              </w:rPr>
              <w:t>reen, Orange and Red</w:t>
            </w:r>
            <w:r w:rsidR="000F6143" w:rsidRPr="0048216F">
              <w:rPr>
                <w:sz w:val="15"/>
                <w:szCs w:val="15"/>
              </w:rPr>
              <w:t xml:space="preserve">. </w:t>
            </w:r>
            <w:r w:rsidR="00FB7249">
              <w:rPr>
                <w:sz w:val="15"/>
                <w:szCs w:val="15"/>
              </w:rPr>
              <w:t xml:space="preserve"> Risks assessments should be regularly reviewed to ensure they continue to align with </w:t>
            </w:r>
            <w:r w:rsidR="00EA644D">
              <w:rPr>
                <w:sz w:val="15"/>
                <w:szCs w:val="15"/>
              </w:rPr>
              <w:t xml:space="preserve">current </w:t>
            </w:r>
            <w:r w:rsidR="006D6306">
              <w:rPr>
                <w:sz w:val="15"/>
                <w:szCs w:val="15"/>
              </w:rPr>
              <w:t xml:space="preserve">public health guidance. </w:t>
            </w:r>
            <w:r w:rsidR="000B68A7" w:rsidRPr="0048216F">
              <w:rPr>
                <w:sz w:val="15"/>
                <w:szCs w:val="15"/>
              </w:rPr>
              <w:t xml:space="preserve">There is no Government vaccination requirement for residents or staff in student accommodation. </w:t>
            </w:r>
            <w:r w:rsidR="00EC001E" w:rsidRPr="0048216F">
              <w:rPr>
                <w:sz w:val="15"/>
                <w:szCs w:val="15"/>
              </w:rPr>
              <w:t>Providers</w:t>
            </w:r>
            <w:r w:rsidR="00967423" w:rsidRPr="0048216F">
              <w:rPr>
                <w:sz w:val="15"/>
                <w:szCs w:val="15"/>
              </w:rPr>
              <w:t xml:space="preserve"> should also consider obligations in the new </w:t>
            </w:r>
            <w:hyperlink r:id="rId12" w:history="1">
              <w:r w:rsidR="00E06665" w:rsidRPr="0048216F">
                <w:rPr>
                  <w:rStyle w:val="Hyperlink"/>
                  <w:sz w:val="15"/>
                  <w:szCs w:val="15"/>
                </w:rPr>
                <w:t xml:space="preserve">Tertiary and International </w:t>
              </w:r>
              <w:r w:rsidR="00967423" w:rsidRPr="0048216F">
                <w:rPr>
                  <w:rStyle w:val="Hyperlink"/>
                  <w:sz w:val="15"/>
                  <w:szCs w:val="15"/>
                </w:rPr>
                <w:t>Code</w:t>
              </w:r>
              <w:r w:rsidR="00E06665" w:rsidRPr="0048216F">
                <w:rPr>
                  <w:rStyle w:val="Hyperlink"/>
                  <w:sz w:val="15"/>
                  <w:szCs w:val="15"/>
                </w:rPr>
                <w:t xml:space="preserve"> of Practice</w:t>
              </w:r>
            </w:hyperlink>
            <w:r w:rsidR="00967423" w:rsidRPr="0048216F">
              <w:rPr>
                <w:sz w:val="15"/>
                <w:szCs w:val="15"/>
              </w:rPr>
              <w:t>.</w:t>
            </w:r>
            <w:r w:rsidR="00F105CF" w:rsidRPr="0048216F">
              <w:rPr>
                <w:sz w:val="15"/>
                <w:szCs w:val="15"/>
              </w:rPr>
              <w:t xml:space="preserve"> </w:t>
            </w:r>
            <w:r w:rsidR="00740E01">
              <w:rPr>
                <w:sz w:val="15"/>
                <w:szCs w:val="15"/>
              </w:rPr>
              <w:t xml:space="preserve">Detailed guidance for accommodation providers can be found on the Te Mahau website </w:t>
            </w:r>
            <w:r w:rsidR="00D31E7A">
              <w:rPr>
                <w:sz w:val="15"/>
                <w:szCs w:val="15"/>
              </w:rPr>
              <w:t>(</w:t>
            </w:r>
            <w:hyperlink r:id="rId13" w:history="1">
              <w:r w:rsidR="00D31E7A" w:rsidRPr="00D31E7A">
                <w:rPr>
                  <w:rStyle w:val="Hyperlink"/>
                  <w:sz w:val="15"/>
                  <w:szCs w:val="15"/>
                </w:rPr>
                <w:t>Resources for tertiary education providers | Te Mahau</w:t>
              </w:r>
            </w:hyperlink>
            <w:r w:rsidR="00D31E7A" w:rsidRPr="00D31E7A">
              <w:rPr>
                <w:sz w:val="15"/>
                <w:szCs w:val="15"/>
              </w:rPr>
              <w:t>)</w:t>
            </w:r>
            <w:r w:rsidR="00D31E7A">
              <w:rPr>
                <w:sz w:val="15"/>
                <w:szCs w:val="15"/>
              </w:rPr>
              <w:t>.</w:t>
            </w:r>
          </w:p>
        </w:tc>
      </w:tr>
    </w:tbl>
    <w:p w14:paraId="131B9AAD" w14:textId="77777777" w:rsidR="00E37E52" w:rsidRPr="002F2FFE" w:rsidRDefault="00E37E52">
      <w:pPr>
        <w:rPr>
          <w:rFonts w:cstheme="minorHAnsi"/>
          <w:sz w:val="2"/>
          <w:szCs w:val="2"/>
        </w:rPr>
      </w:pPr>
    </w:p>
    <w:sectPr w:rsidR="00E37E52" w:rsidRPr="002F2FFE" w:rsidSect="006A7497">
      <w:headerReference w:type="default" r:id="rId14"/>
      <w:headerReference w:type="first" r:id="rId15"/>
      <w:pgSz w:w="16838" w:h="11906" w:orient="landscape"/>
      <w:pgMar w:top="851" w:right="1440" w:bottom="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72BDE" w14:textId="77777777" w:rsidR="0061553C" w:rsidRDefault="0061553C" w:rsidP="00A656AE">
      <w:pPr>
        <w:spacing w:after="0" w:line="240" w:lineRule="auto"/>
      </w:pPr>
      <w:r>
        <w:separator/>
      </w:r>
    </w:p>
  </w:endnote>
  <w:endnote w:type="continuationSeparator" w:id="0">
    <w:p w14:paraId="4FA1DCFE" w14:textId="77777777" w:rsidR="0061553C" w:rsidRDefault="0061553C" w:rsidP="00A656AE">
      <w:pPr>
        <w:spacing w:after="0" w:line="240" w:lineRule="auto"/>
      </w:pPr>
      <w:r>
        <w:continuationSeparator/>
      </w:r>
    </w:p>
  </w:endnote>
  <w:endnote w:type="continuationNotice" w:id="1">
    <w:p w14:paraId="35A85E61" w14:textId="77777777" w:rsidR="0061553C" w:rsidRDefault="00615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03303" w14:textId="77777777" w:rsidR="0061553C" w:rsidRDefault="0061553C" w:rsidP="00A656AE">
      <w:pPr>
        <w:spacing w:after="0" w:line="240" w:lineRule="auto"/>
      </w:pPr>
      <w:r>
        <w:separator/>
      </w:r>
    </w:p>
  </w:footnote>
  <w:footnote w:type="continuationSeparator" w:id="0">
    <w:p w14:paraId="20B7E4D5" w14:textId="77777777" w:rsidR="0061553C" w:rsidRDefault="0061553C" w:rsidP="00A656AE">
      <w:pPr>
        <w:spacing w:after="0" w:line="240" w:lineRule="auto"/>
      </w:pPr>
      <w:r>
        <w:continuationSeparator/>
      </w:r>
    </w:p>
  </w:footnote>
  <w:footnote w:type="continuationNotice" w:id="1">
    <w:p w14:paraId="2CC3283F" w14:textId="77777777" w:rsidR="0061553C" w:rsidRDefault="00615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36CAF" w14:textId="6AD75EC1" w:rsidR="00A656AE" w:rsidRPr="00436174" w:rsidRDefault="00A656AE" w:rsidP="00A656AE">
    <w:pPr>
      <w:pStyle w:val="Header"/>
      <w:tabs>
        <w:tab w:val="left" w:pos="142"/>
      </w:tabs>
      <w:jc w:val="center"/>
      <w:rPr>
        <w:b/>
        <w:bCs/>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FFD5" w14:textId="28CCBC71" w:rsidR="00585CEE" w:rsidRDefault="00C04EAF" w:rsidP="00F80D49">
    <w:pPr>
      <w:pStyle w:val="Header"/>
      <w:tabs>
        <w:tab w:val="left" w:pos="142"/>
      </w:tabs>
      <w:ind w:left="-567" w:right="-784"/>
      <w:rPr>
        <w:b/>
        <w:bCs/>
        <w:color w:val="FF0000"/>
        <w:sz w:val="16"/>
        <w:szCs w:val="16"/>
      </w:rPr>
    </w:pPr>
    <w:r w:rsidRPr="00436174">
      <w:rPr>
        <w:b/>
        <w:bCs/>
        <w:color w:val="FF0000"/>
        <w:sz w:val="16"/>
        <w:szCs w:val="16"/>
      </w:rPr>
      <w:t xml:space="preserve">This </w:t>
    </w:r>
    <w:r>
      <w:rPr>
        <w:b/>
        <w:bCs/>
        <w:color w:val="FF0000"/>
        <w:sz w:val="16"/>
        <w:szCs w:val="16"/>
      </w:rPr>
      <w:t xml:space="preserve">short-form </w:t>
    </w:r>
    <w:r w:rsidRPr="00E44AB6">
      <w:rPr>
        <w:b/>
        <w:bCs/>
        <w:color w:val="FF0000"/>
        <w:sz w:val="16"/>
        <w:szCs w:val="16"/>
      </w:rPr>
      <w:t xml:space="preserve">guidance is </w:t>
    </w:r>
    <w:r w:rsidR="00913D44" w:rsidRPr="00E44AB6">
      <w:rPr>
        <w:b/>
        <w:bCs/>
        <w:color w:val="FF0000"/>
        <w:sz w:val="16"/>
        <w:szCs w:val="16"/>
      </w:rPr>
      <w:t xml:space="preserve">dated </w:t>
    </w:r>
    <w:r w:rsidR="00E44AB6" w:rsidRPr="00E44AB6">
      <w:rPr>
        <w:b/>
        <w:bCs/>
        <w:color w:val="FF0000"/>
        <w:sz w:val="16"/>
        <w:szCs w:val="16"/>
      </w:rPr>
      <w:t>1</w:t>
    </w:r>
    <w:r w:rsidR="00391DC6">
      <w:rPr>
        <w:b/>
        <w:bCs/>
        <w:color w:val="FF0000"/>
        <w:sz w:val="16"/>
        <w:szCs w:val="16"/>
      </w:rPr>
      <w:t>3</w:t>
    </w:r>
    <w:r w:rsidR="00913D44" w:rsidRPr="00E44AB6">
      <w:rPr>
        <w:b/>
        <w:bCs/>
        <w:color w:val="FF0000"/>
        <w:sz w:val="16"/>
        <w:szCs w:val="16"/>
      </w:rPr>
      <w:t xml:space="preserve"> April</w:t>
    </w:r>
    <w:r w:rsidR="00AB6A1E" w:rsidRPr="00E44AB6">
      <w:rPr>
        <w:b/>
        <w:bCs/>
        <w:color w:val="FF0000"/>
        <w:sz w:val="16"/>
        <w:szCs w:val="16"/>
      </w:rPr>
      <w:t xml:space="preserve"> 2022</w:t>
    </w:r>
    <w:r w:rsidR="00AB6A1E">
      <w:rPr>
        <w:b/>
        <w:bCs/>
        <w:color w:val="FF0000"/>
        <w:sz w:val="16"/>
        <w:szCs w:val="16"/>
      </w:rPr>
      <w:t xml:space="preserve"> </w:t>
    </w:r>
    <w:r w:rsidRPr="00436174">
      <w:rPr>
        <w:b/>
        <w:bCs/>
        <w:color w:val="FF0000"/>
        <w:sz w:val="16"/>
        <w:szCs w:val="16"/>
      </w:rPr>
      <w:t xml:space="preserve">– </w:t>
    </w:r>
    <w:r w:rsidR="00AB6A1E">
      <w:rPr>
        <w:b/>
        <w:bCs/>
        <w:color w:val="FF0000"/>
        <w:sz w:val="16"/>
        <w:szCs w:val="16"/>
      </w:rPr>
      <w:t xml:space="preserve">For more </w:t>
    </w:r>
    <w:r>
      <w:rPr>
        <w:b/>
        <w:bCs/>
        <w:color w:val="FF0000"/>
        <w:sz w:val="16"/>
        <w:szCs w:val="16"/>
      </w:rPr>
      <w:t xml:space="preserve">detailed guidance </w:t>
    </w:r>
    <w:r w:rsidR="00AB6A1E">
      <w:rPr>
        <w:b/>
        <w:bCs/>
        <w:color w:val="FF0000"/>
        <w:sz w:val="16"/>
        <w:szCs w:val="16"/>
      </w:rPr>
      <w:t>go to</w:t>
    </w:r>
    <w:r w:rsidR="00FD3E65">
      <w:t xml:space="preserve"> </w:t>
    </w:r>
    <w:hyperlink r:id="rId1" w:history="1">
      <w:r w:rsidR="00AB6A1E" w:rsidRPr="00B911BA">
        <w:rPr>
          <w:rStyle w:val="Hyperlink"/>
          <w:b/>
          <w:bCs/>
          <w:sz w:val="16"/>
          <w:szCs w:val="16"/>
        </w:rPr>
        <w:t>https://temahau.govt.nz/covid-19/advice-tertiary-providers-students</w:t>
      </w:r>
    </w:hyperlink>
    <w:r w:rsidR="00AB6A1E" w:rsidRPr="00F80D49">
      <w:rPr>
        <w:b/>
        <w:bCs/>
        <w:color w:val="FF0000"/>
        <w:sz w:val="16"/>
        <w:szCs w:val="16"/>
      </w:rPr>
      <w:t xml:space="preserve">, and </w:t>
    </w:r>
    <w:r w:rsidR="00AB6A1E">
      <w:rPr>
        <w:b/>
        <w:bCs/>
        <w:color w:val="FF0000"/>
        <w:sz w:val="16"/>
        <w:szCs w:val="16"/>
      </w:rPr>
      <w:t xml:space="preserve">for </w:t>
    </w:r>
    <w:r w:rsidR="00AB6A1E" w:rsidRPr="00F80D49">
      <w:rPr>
        <w:b/>
        <w:bCs/>
        <w:color w:val="FF0000"/>
        <w:sz w:val="16"/>
        <w:szCs w:val="16"/>
      </w:rPr>
      <w:t xml:space="preserve">updated information </w:t>
    </w:r>
    <w:r w:rsidR="00AB6A1E">
      <w:rPr>
        <w:b/>
        <w:bCs/>
        <w:color w:val="FF0000"/>
        <w:sz w:val="16"/>
        <w:szCs w:val="16"/>
      </w:rPr>
      <w:t>to</w:t>
    </w:r>
    <w:r w:rsidR="00AB6A1E" w:rsidRPr="00F80D49">
      <w:rPr>
        <w:b/>
        <w:bCs/>
        <w:color w:val="FF0000"/>
        <w:sz w:val="16"/>
        <w:szCs w:val="16"/>
      </w:rPr>
      <w:t xml:space="preserve"> </w:t>
    </w:r>
    <w:hyperlink r:id="rId2" w:history="1">
      <w:r w:rsidR="00AB6A1E" w:rsidRPr="00B911BA">
        <w:rPr>
          <w:rStyle w:val="Hyperlink"/>
          <w:b/>
          <w:bCs/>
          <w:sz w:val="16"/>
          <w:szCs w:val="16"/>
        </w:rPr>
        <w:t>https://bulletins.education.govt.nz/</w:t>
      </w:r>
    </w:hyperlink>
    <w:r w:rsidR="00AB6A1E" w:rsidRPr="00F80D49">
      <w:rPr>
        <w:b/>
        <w:bCs/>
        <w:color w:val="FF0000"/>
        <w:sz w:val="16"/>
        <w:szCs w:val="16"/>
      </w:rPr>
      <w:t>.</w:t>
    </w:r>
  </w:p>
  <w:p w14:paraId="5429BD8A" w14:textId="77777777" w:rsidR="00EE0734" w:rsidRPr="006A7497" w:rsidRDefault="00EE0734" w:rsidP="006A7497">
    <w:pPr>
      <w:pStyle w:val="Header"/>
      <w:tabs>
        <w:tab w:val="left" w:pos="142"/>
      </w:tabs>
      <w:jc w:val="center"/>
      <w:rPr>
        <w:b/>
        <w:b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BCF"/>
    <w:multiLevelType w:val="hybridMultilevel"/>
    <w:tmpl w:val="FE0CB310"/>
    <w:lvl w:ilvl="0" w:tplc="DDE2CD2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1A25AC5"/>
    <w:multiLevelType w:val="hybridMultilevel"/>
    <w:tmpl w:val="F6220602"/>
    <w:lvl w:ilvl="0" w:tplc="77A8D440">
      <w:numFmt w:val="bullet"/>
      <w:lvlText w:val="-"/>
      <w:lvlJc w:val="left"/>
      <w:pPr>
        <w:ind w:left="360" w:hanging="360"/>
      </w:pPr>
      <w:rPr>
        <w:rFonts w:ascii="Calibri" w:eastAsiaTheme="minorHAnsi" w:hAnsi="Calibri" w:cs="Calibr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2B63A0B"/>
    <w:multiLevelType w:val="hybridMultilevel"/>
    <w:tmpl w:val="0A76B4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4A0282F"/>
    <w:multiLevelType w:val="hybridMultilevel"/>
    <w:tmpl w:val="06DC80B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04AF6243"/>
    <w:multiLevelType w:val="hybridMultilevel"/>
    <w:tmpl w:val="9AB82380"/>
    <w:lvl w:ilvl="0" w:tplc="6DEC83BE">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90B15D5"/>
    <w:multiLevelType w:val="hybridMultilevel"/>
    <w:tmpl w:val="BBEE26BC"/>
    <w:lvl w:ilvl="0" w:tplc="CB4E1278">
      <w:numFmt w:val="bullet"/>
      <w:lvlText w:val="-"/>
      <w:lvlJc w:val="left"/>
      <w:pPr>
        <w:ind w:left="360" w:hanging="360"/>
      </w:pPr>
      <w:rPr>
        <w:rFonts w:ascii="Calibri" w:eastAsiaTheme="minorHAnsi" w:hAnsi="Calibri" w:cs="Calibr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4E30C1A"/>
    <w:multiLevelType w:val="hybridMultilevel"/>
    <w:tmpl w:val="FA6CC45E"/>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7" w15:restartNumberingAfterBreak="0">
    <w:nsid w:val="200047A2"/>
    <w:multiLevelType w:val="hybridMultilevel"/>
    <w:tmpl w:val="CE6463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4A91A4B"/>
    <w:multiLevelType w:val="hybridMultilevel"/>
    <w:tmpl w:val="C304FC4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7101C31"/>
    <w:multiLevelType w:val="hybridMultilevel"/>
    <w:tmpl w:val="162C1DF4"/>
    <w:lvl w:ilvl="0" w:tplc="17CC51D0">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8055E8E"/>
    <w:multiLevelType w:val="hybridMultilevel"/>
    <w:tmpl w:val="1B0C23CC"/>
    <w:lvl w:ilvl="0" w:tplc="46DE419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F887B46"/>
    <w:multiLevelType w:val="hybridMultilevel"/>
    <w:tmpl w:val="DF101FA4"/>
    <w:lvl w:ilvl="0" w:tplc="8402C130">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41366DBC"/>
    <w:multiLevelType w:val="hybridMultilevel"/>
    <w:tmpl w:val="419C75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1D602CE"/>
    <w:multiLevelType w:val="hybridMultilevel"/>
    <w:tmpl w:val="2B083F12"/>
    <w:lvl w:ilvl="0" w:tplc="D036304C">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705FB7"/>
    <w:multiLevelType w:val="hybridMultilevel"/>
    <w:tmpl w:val="D6DC3324"/>
    <w:lvl w:ilvl="0" w:tplc="5BF08BCE">
      <w:start w:val="1"/>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5CDB760C"/>
    <w:multiLevelType w:val="hybridMultilevel"/>
    <w:tmpl w:val="BE8C9714"/>
    <w:lvl w:ilvl="0" w:tplc="0D16806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D0A7FF8"/>
    <w:multiLevelType w:val="hybridMultilevel"/>
    <w:tmpl w:val="34748C00"/>
    <w:lvl w:ilvl="0" w:tplc="26CCBEFA">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E6B03B8"/>
    <w:multiLevelType w:val="hybridMultilevel"/>
    <w:tmpl w:val="275421A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6D4E1B37"/>
    <w:multiLevelType w:val="hybridMultilevel"/>
    <w:tmpl w:val="F59AC5D2"/>
    <w:lvl w:ilvl="0" w:tplc="FFFFFFF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E0457AF"/>
    <w:multiLevelType w:val="hybridMultilevel"/>
    <w:tmpl w:val="B4768014"/>
    <w:lvl w:ilvl="0" w:tplc="14090003">
      <w:start w:val="1"/>
      <w:numFmt w:val="bullet"/>
      <w:lvlText w:val="o"/>
      <w:lvlJc w:val="left"/>
      <w:pPr>
        <w:ind w:left="1080" w:hanging="360"/>
      </w:pPr>
      <w:rPr>
        <w:rFonts w:ascii="Courier New" w:hAnsi="Courier New" w:cs="Courier New"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0" w15:restartNumberingAfterBreak="0">
    <w:nsid w:val="771F31EF"/>
    <w:multiLevelType w:val="hybridMultilevel"/>
    <w:tmpl w:val="C33A0090"/>
    <w:lvl w:ilvl="0" w:tplc="F926E132">
      <w:numFmt w:val="bullet"/>
      <w:lvlText w:val="-"/>
      <w:lvlJc w:val="left"/>
      <w:pPr>
        <w:ind w:left="357" w:hanging="360"/>
      </w:pPr>
      <w:rPr>
        <w:rFonts w:ascii="Calibri" w:eastAsiaTheme="minorHAnsi" w:hAnsi="Calibri" w:cs="Calibri" w:hint="default"/>
      </w:rPr>
    </w:lvl>
    <w:lvl w:ilvl="1" w:tplc="14090003">
      <w:start w:val="1"/>
      <w:numFmt w:val="bullet"/>
      <w:lvlText w:val="o"/>
      <w:lvlJc w:val="left"/>
      <w:pPr>
        <w:ind w:left="1077" w:hanging="360"/>
      </w:pPr>
      <w:rPr>
        <w:rFonts w:ascii="Courier New" w:hAnsi="Courier New" w:cs="Courier New" w:hint="default"/>
      </w:rPr>
    </w:lvl>
    <w:lvl w:ilvl="2" w:tplc="14090005">
      <w:start w:val="1"/>
      <w:numFmt w:val="bullet"/>
      <w:lvlText w:val=""/>
      <w:lvlJc w:val="left"/>
      <w:pPr>
        <w:ind w:left="1797" w:hanging="360"/>
      </w:pPr>
      <w:rPr>
        <w:rFonts w:ascii="Wingdings" w:hAnsi="Wingdings" w:hint="default"/>
      </w:rPr>
    </w:lvl>
    <w:lvl w:ilvl="3" w:tplc="14090001" w:tentative="1">
      <w:start w:val="1"/>
      <w:numFmt w:val="bullet"/>
      <w:lvlText w:val=""/>
      <w:lvlJc w:val="left"/>
      <w:pPr>
        <w:ind w:left="2517" w:hanging="360"/>
      </w:pPr>
      <w:rPr>
        <w:rFonts w:ascii="Symbol" w:hAnsi="Symbol" w:hint="default"/>
      </w:rPr>
    </w:lvl>
    <w:lvl w:ilvl="4" w:tplc="14090003" w:tentative="1">
      <w:start w:val="1"/>
      <w:numFmt w:val="bullet"/>
      <w:lvlText w:val="o"/>
      <w:lvlJc w:val="left"/>
      <w:pPr>
        <w:ind w:left="3237" w:hanging="360"/>
      </w:pPr>
      <w:rPr>
        <w:rFonts w:ascii="Courier New" w:hAnsi="Courier New" w:cs="Courier New" w:hint="default"/>
      </w:rPr>
    </w:lvl>
    <w:lvl w:ilvl="5" w:tplc="14090005" w:tentative="1">
      <w:start w:val="1"/>
      <w:numFmt w:val="bullet"/>
      <w:lvlText w:val=""/>
      <w:lvlJc w:val="left"/>
      <w:pPr>
        <w:ind w:left="3957" w:hanging="360"/>
      </w:pPr>
      <w:rPr>
        <w:rFonts w:ascii="Wingdings" w:hAnsi="Wingdings" w:hint="default"/>
      </w:rPr>
    </w:lvl>
    <w:lvl w:ilvl="6" w:tplc="14090001" w:tentative="1">
      <w:start w:val="1"/>
      <w:numFmt w:val="bullet"/>
      <w:lvlText w:val=""/>
      <w:lvlJc w:val="left"/>
      <w:pPr>
        <w:ind w:left="4677" w:hanging="360"/>
      </w:pPr>
      <w:rPr>
        <w:rFonts w:ascii="Symbol" w:hAnsi="Symbol" w:hint="default"/>
      </w:rPr>
    </w:lvl>
    <w:lvl w:ilvl="7" w:tplc="14090003" w:tentative="1">
      <w:start w:val="1"/>
      <w:numFmt w:val="bullet"/>
      <w:lvlText w:val="o"/>
      <w:lvlJc w:val="left"/>
      <w:pPr>
        <w:ind w:left="5397" w:hanging="360"/>
      </w:pPr>
      <w:rPr>
        <w:rFonts w:ascii="Courier New" w:hAnsi="Courier New" w:cs="Courier New" w:hint="default"/>
      </w:rPr>
    </w:lvl>
    <w:lvl w:ilvl="8" w:tplc="14090005" w:tentative="1">
      <w:start w:val="1"/>
      <w:numFmt w:val="bullet"/>
      <w:lvlText w:val=""/>
      <w:lvlJc w:val="left"/>
      <w:pPr>
        <w:ind w:left="6117" w:hanging="360"/>
      </w:pPr>
      <w:rPr>
        <w:rFonts w:ascii="Wingdings" w:hAnsi="Wingdings" w:hint="default"/>
      </w:rPr>
    </w:lvl>
  </w:abstractNum>
  <w:abstractNum w:abstractNumId="21" w15:restartNumberingAfterBreak="0">
    <w:nsid w:val="77A954A6"/>
    <w:multiLevelType w:val="hybridMultilevel"/>
    <w:tmpl w:val="5F04AD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3"/>
  </w:num>
  <w:num w:numId="4">
    <w:abstractNumId w:val="7"/>
  </w:num>
  <w:num w:numId="5">
    <w:abstractNumId w:val="14"/>
  </w:num>
  <w:num w:numId="6">
    <w:abstractNumId w:val="6"/>
  </w:num>
  <w:num w:numId="7">
    <w:abstractNumId w:val="20"/>
  </w:num>
  <w:num w:numId="8">
    <w:abstractNumId w:val="9"/>
  </w:num>
  <w:num w:numId="9">
    <w:abstractNumId w:val="17"/>
  </w:num>
  <w:num w:numId="10">
    <w:abstractNumId w:val="1"/>
  </w:num>
  <w:num w:numId="11">
    <w:abstractNumId w:val="10"/>
  </w:num>
  <w:num w:numId="12">
    <w:abstractNumId w:val="21"/>
  </w:num>
  <w:num w:numId="13">
    <w:abstractNumId w:val="15"/>
  </w:num>
  <w:num w:numId="14">
    <w:abstractNumId w:val="4"/>
  </w:num>
  <w:num w:numId="15">
    <w:abstractNumId w:val="2"/>
  </w:num>
  <w:num w:numId="16">
    <w:abstractNumId w:val="8"/>
  </w:num>
  <w:num w:numId="17">
    <w:abstractNumId w:val="0"/>
  </w:num>
  <w:num w:numId="18">
    <w:abstractNumId w:val="13"/>
  </w:num>
  <w:num w:numId="19">
    <w:abstractNumId w:val="18"/>
  </w:num>
  <w:num w:numId="20">
    <w:abstractNumId w:val="16"/>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6E9"/>
    <w:rsid w:val="00001025"/>
    <w:rsid w:val="00001772"/>
    <w:rsid w:val="00001CEA"/>
    <w:rsid w:val="00001EFD"/>
    <w:rsid w:val="00003109"/>
    <w:rsid w:val="000034FC"/>
    <w:rsid w:val="00003F05"/>
    <w:rsid w:val="0000743E"/>
    <w:rsid w:val="00007AB7"/>
    <w:rsid w:val="00013ED8"/>
    <w:rsid w:val="00015E6E"/>
    <w:rsid w:val="00017344"/>
    <w:rsid w:val="00023D3A"/>
    <w:rsid w:val="00024F1E"/>
    <w:rsid w:val="0002562E"/>
    <w:rsid w:val="00027412"/>
    <w:rsid w:val="00027586"/>
    <w:rsid w:val="00027727"/>
    <w:rsid w:val="000278B4"/>
    <w:rsid w:val="00030625"/>
    <w:rsid w:val="00032512"/>
    <w:rsid w:val="000348E9"/>
    <w:rsid w:val="00034BB4"/>
    <w:rsid w:val="00034CA9"/>
    <w:rsid w:val="00035C85"/>
    <w:rsid w:val="0003682F"/>
    <w:rsid w:val="00037CA7"/>
    <w:rsid w:val="0004386A"/>
    <w:rsid w:val="000452AB"/>
    <w:rsid w:val="00045D47"/>
    <w:rsid w:val="00045E44"/>
    <w:rsid w:val="0004715F"/>
    <w:rsid w:val="0005007E"/>
    <w:rsid w:val="000508F7"/>
    <w:rsid w:val="0005333D"/>
    <w:rsid w:val="0005370B"/>
    <w:rsid w:val="000545EF"/>
    <w:rsid w:val="000551EC"/>
    <w:rsid w:val="000554D3"/>
    <w:rsid w:val="00056CA2"/>
    <w:rsid w:val="00060114"/>
    <w:rsid w:val="000613B8"/>
    <w:rsid w:val="00067718"/>
    <w:rsid w:val="00067976"/>
    <w:rsid w:val="000700F6"/>
    <w:rsid w:val="00070BFA"/>
    <w:rsid w:val="00070D71"/>
    <w:rsid w:val="00070E98"/>
    <w:rsid w:val="00074B58"/>
    <w:rsid w:val="00075A0A"/>
    <w:rsid w:val="00075A59"/>
    <w:rsid w:val="00076C8F"/>
    <w:rsid w:val="00077988"/>
    <w:rsid w:val="00077C35"/>
    <w:rsid w:val="0008088F"/>
    <w:rsid w:val="0008251E"/>
    <w:rsid w:val="00082AB2"/>
    <w:rsid w:val="000837BA"/>
    <w:rsid w:val="000851DA"/>
    <w:rsid w:val="00086D8A"/>
    <w:rsid w:val="000904D0"/>
    <w:rsid w:val="00090C40"/>
    <w:rsid w:val="00094FE3"/>
    <w:rsid w:val="00095A2F"/>
    <w:rsid w:val="00095BA2"/>
    <w:rsid w:val="00095C3C"/>
    <w:rsid w:val="0009773F"/>
    <w:rsid w:val="000A01E2"/>
    <w:rsid w:val="000A1D68"/>
    <w:rsid w:val="000A222E"/>
    <w:rsid w:val="000A3C4E"/>
    <w:rsid w:val="000A4373"/>
    <w:rsid w:val="000A4880"/>
    <w:rsid w:val="000A60C5"/>
    <w:rsid w:val="000A79CF"/>
    <w:rsid w:val="000B0B28"/>
    <w:rsid w:val="000B0DE4"/>
    <w:rsid w:val="000B176B"/>
    <w:rsid w:val="000B2767"/>
    <w:rsid w:val="000B4250"/>
    <w:rsid w:val="000B68A7"/>
    <w:rsid w:val="000C05A4"/>
    <w:rsid w:val="000C0B20"/>
    <w:rsid w:val="000C186B"/>
    <w:rsid w:val="000C249F"/>
    <w:rsid w:val="000C3230"/>
    <w:rsid w:val="000C3787"/>
    <w:rsid w:val="000C49EE"/>
    <w:rsid w:val="000C57DB"/>
    <w:rsid w:val="000C5F59"/>
    <w:rsid w:val="000C7CFD"/>
    <w:rsid w:val="000D01DF"/>
    <w:rsid w:val="000D0A6E"/>
    <w:rsid w:val="000D0F50"/>
    <w:rsid w:val="000D1B0C"/>
    <w:rsid w:val="000D5BBE"/>
    <w:rsid w:val="000D6BCD"/>
    <w:rsid w:val="000D7106"/>
    <w:rsid w:val="000D7B0F"/>
    <w:rsid w:val="000E298D"/>
    <w:rsid w:val="000E2C07"/>
    <w:rsid w:val="000E417C"/>
    <w:rsid w:val="000E4B84"/>
    <w:rsid w:val="000E6AF0"/>
    <w:rsid w:val="000F0C23"/>
    <w:rsid w:val="000F1E62"/>
    <w:rsid w:val="000F2B5D"/>
    <w:rsid w:val="000F2F85"/>
    <w:rsid w:val="000F4566"/>
    <w:rsid w:val="000F4A4C"/>
    <w:rsid w:val="000F557A"/>
    <w:rsid w:val="000F6143"/>
    <w:rsid w:val="000F71F0"/>
    <w:rsid w:val="00100261"/>
    <w:rsid w:val="00100BE2"/>
    <w:rsid w:val="001020CC"/>
    <w:rsid w:val="00102526"/>
    <w:rsid w:val="00102F32"/>
    <w:rsid w:val="0010318D"/>
    <w:rsid w:val="001038B9"/>
    <w:rsid w:val="001041F2"/>
    <w:rsid w:val="00104554"/>
    <w:rsid w:val="00104A16"/>
    <w:rsid w:val="0010523A"/>
    <w:rsid w:val="00107F9A"/>
    <w:rsid w:val="00107FAB"/>
    <w:rsid w:val="0011037E"/>
    <w:rsid w:val="0011229D"/>
    <w:rsid w:val="001153A8"/>
    <w:rsid w:val="001159C1"/>
    <w:rsid w:val="00117CEB"/>
    <w:rsid w:val="0012207E"/>
    <w:rsid w:val="00122FE6"/>
    <w:rsid w:val="0012340A"/>
    <w:rsid w:val="00124BCC"/>
    <w:rsid w:val="001254B4"/>
    <w:rsid w:val="00126E50"/>
    <w:rsid w:val="0012712F"/>
    <w:rsid w:val="0012744D"/>
    <w:rsid w:val="0013082E"/>
    <w:rsid w:val="00132A69"/>
    <w:rsid w:val="001341F3"/>
    <w:rsid w:val="00134FB5"/>
    <w:rsid w:val="0013623D"/>
    <w:rsid w:val="00142647"/>
    <w:rsid w:val="001428E4"/>
    <w:rsid w:val="001435EB"/>
    <w:rsid w:val="00143B5B"/>
    <w:rsid w:val="001446B1"/>
    <w:rsid w:val="00144906"/>
    <w:rsid w:val="001459C5"/>
    <w:rsid w:val="001459E7"/>
    <w:rsid w:val="001476B7"/>
    <w:rsid w:val="001502D0"/>
    <w:rsid w:val="00150974"/>
    <w:rsid w:val="00151638"/>
    <w:rsid w:val="001517E7"/>
    <w:rsid w:val="00151DD7"/>
    <w:rsid w:val="001520CF"/>
    <w:rsid w:val="00152589"/>
    <w:rsid w:val="00155167"/>
    <w:rsid w:val="00157843"/>
    <w:rsid w:val="00161152"/>
    <w:rsid w:val="00166C3D"/>
    <w:rsid w:val="00166E2A"/>
    <w:rsid w:val="00170D84"/>
    <w:rsid w:val="001737CB"/>
    <w:rsid w:val="00174114"/>
    <w:rsid w:val="00177BC5"/>
    <w:rsid w:val="00180F51"/>
    <w:rsid w:val="00181453"/>
    <w:rsid w:val="001855E9"/>
    <w:rsid w:val="00185F4B"/>
    <w:rsid w:val="00196C89"/>
    <w:rsid w:val="001A1888"/>
    <w:rsid w:val="001A1A32"/>
    <w:rsid w:val="001A2BB6"/>
    <w:rsid w:val="001A3870"/>
    <w:rsid w:val="001A528F"/>
    <w:rsid w:val="001A61E3"/>
    <w:rsid w:val="001A6258"/>
    <w:rsid w:val="001A6F0F"/>
    <w:rsid w:val="001B2120"/>
    <w:rsid w:val="001B2515"/>
    <w:rsid w:val="001B3E55"/>
    <w:rsid w:val="001B4985"/>
    <w:rsid w:val="001B4CE0"/>
    <w:rsid w:val="001B4D60"/>
    <w:rsid w:val="001B5633"/>
    <w:rsid w:val="001B5A4A"/>
    <w:rsid w:val="001B61E0"/>
    <w:rsid w:val="001B7420"/>
    <w:rsid w:val="001C1280"/>
    <w:rsid w:val="001C2201"/>
    <w:rsid w:val="001C350C"/>
    <w:rsid w:val="001C5614"/>
    <w:rsid w:val="001C5F5F"/>
    <w:rsid w:val="001C79FF"/>
    <w:rsid w:val="001D039C"/>
    <w:rsid w:val="001D43C7"/>
    <w:rsid w:val="001D4816"/>
    <w:rsid w:val="001D785A"/>
    <w:rsid w:val="001E121E"/>
    <w:rsid w:val="001E250C"/>
    <w:rsid w:val="001E2AF8"/>
    <w:rsid w:val="001E3578"/>
    <w:rsid w:val="001E4A5C"/>
    <w:rsid w:val="001E71AA"/>
    <w:rsid w:val="001F0F31"/>
    <w:rsid w:val="001F1DB4"/>
    <w:rsid w:val="001F22F6"/>
    <w:rsid w:val="001F6EEB"/>
    <w:rsid w:val="001F749F"/>
    <w:rsid w:val="001F7FCC"/>
    <w:rsid w:val="002009B9"/>
    <w:rsid w:val="00201891"/>
    <w:rsid w:val="00202362"/>
    <w:rsid w:val="00202578"/>
    <w:rsid w:val="00204222"/>
    <w:rsid w:val="0020657A"/>
    <w:rsid w:val="00206C40"/>
    <w:rsid w:val="002071F0"/>
    <w:rsid w:val="00207DF1"/>
    <w:rsid w:val="00210138"/>
    <w:rsid w:val="00210363"/>
    <w:rsid w:val="002113EF"/>
    <w:rsid w:val="002120B8"/>
    <w:rsid w:val="002123D7"/>
    <w:rsid w:val="00212474"/>
    <w:rsid w:val="00213BC4"/>
    <w:rsid w:val="0021635E"/>
    <w:rsid w:val="002172CB"/>
    <w:rsid w:val="002177F5"/>
    <w:rsid w:val="00217933"/>
    <w:rsid w:val="00220DB1"/>
    <w:rsid w:val="0022208E"/>
    <w:rsid w:val="00222148"/>
    <w:rsid w:val="00223322"/>
    <w:rsid w:val="00224A44"/>
    <w:rsid w:val="00224B47"/>
    <w:rsid w:val="0022761A"/>
    <w:rsid w:val="00231B7F"/>
    <w:rsid w:val="002320D4"/>
    <w:rsid w:val="00232FB4"/>
    <w:rsid w:val="002339F2"/>
    <w:rsid w:val="00234613"/>
    <w:rsid w:val="00234928"/>
    <w:rsid w:val="00235A6F"/>
    <w:rsid w:val="002379B0"/>
    <w:rsid w:val="00240008"/>
    <w:rsid w:val="0024060E"/>
    <w:rsid w:val="00246E17"/>
    <w:rsid w:val="00247910"/>
    <w:rsid w:val="00252758"/>
    <w:rsid w:val="00252AD1"/>
    <w:rsid w:val="00253631"/>
    <w:rsid w:val="0025439F"/>
    <w:rsid w:val="00256E37"/>
    <w:rsid w:val="002578FA"/>
    <w:rsid w:val="00260746"/>
    <w:rsid w:val="002627D5"/>
    <w:rsid w:val="00262C2F"/>
    <w:rsid w:val="00262E30"/>
    <w:rsid w:val="00262EB1"/>
    <w:rsid w:val="00264479"/>
    <w:rsid w:val="002751C9"/>
    <w:rsid w:val="00275489"/>
    <w:rsid w:val="00276D3E"/>
    <w:rsid w:val="002771BB"/>
    <w:rsid w:val="002773CB"/>
    <w:rsid w:val="00277704"/>
    <w:rsid w:val="00281A41"/>
    <w:rsid w:val="00283D43"/>
    <w:rsid w:val="00284C99"/>
    <w:rsid w:val="00287D62"/>
    <w:rsid w:val="00291510"/>
    <w:rsid w:val="0029369F"/>
    <w:rsid w:val="00295A8F"/>
    <w:rsid w:val="0029742D"/>
    <w:rsid w:val="00297646"/>
    <w:rsid w:val="002A013B"/>
    <w:rsid w:val="002A07FE"/>
    <w:rsid w:val="002A0D78"/>
    <w:rsid w:val="002A20F3"/>
    <w:rsid w:val="002A2911"/>
    <w:rsid w:val="002A3395"/>
    <w:rsid w:val="002A36C8"/>
    <w:rsid w:val="002A4EA2"/>
    <w:rsid w:val="002B05A0"/>
    <w:rsid w:val="002B0A60"/>
    <w:rsid w:val="002B0EC7"/>
    <w:rsid w:val="002B13D8"/>
    <w:rsid w:val="002B261F"/>
    <w:rsid w:val="002B5140"/>
    <w:rsid w:val="002B5922"/>
    <w:rsid w:val="002B6AAB"/>
    <w:rsid w:val="002B6CFC"/>
    <w:rsid w:val="002C04A0"/>
    <w:rsid w:val="002C1391"/>
    <w:rsid w:val="002C1F18"/>
    <w:rsid w:val="002C21B3"/>
    <w:rsid w:val="002C35E0"/>
    <w:rsid w:val="002C36F7"/>
    <w:rsid w:val="002C4ACD"/>
    <w:rsid w:val="002C4D20"/>
    <w:rsid w:val="002C5EA2"/>
    <w:rsid w:val="002C6D58"/>
    <w:rsid w:val="002C6F50"/>
    <w:rsid w:val="002CF8AB"/>
    <w:rsid w:val="002D0272"/>
    <w:rsid w:val="002D2E8A"/>
    <w:rsid w:val="002D72EB"/>
    <w:rsid w:val="002D74DF"/>
    <w:rsid w:val="002E19DA"/>
    <w:rsid w:val="002E24CC"/>
    <w:rsid w:val="002E3421"/>
    <w:rsid w:val="002E4445"/>
    <w:rsid w:val="002E4B08"/>
    <w:rsid w:val="002E57A4"/>
    <w:rsid w:val="002E6D73"/>
    <w:rsid w:val="002F0197"/>
    <w:rsid w:val="002F02C1"/>
    <w:rsid w:val="002F2B60"/>
    <w:rsid w:val="002F2FFE"/>
    <w:rsid w:val="002F3AE7"/>
    <w:rsid w:val="002F573F"/>
    <w:rsid w:val="002F5D2A"/>
    <w:rsid w:val="002F7C0A"/>
    <w:rsid w:val="00300190"/>
    <w:rsid w:val="003001F2"/>
    <w:rsid w:val="00300398"/>
    <w:rsid w:val="00300664"/>
    <w:rsid w:val="00305483"/>
    <w:rsid w:val="00305B84"/>
    <w:rsid w:val="00306EBD"/>
    <w:rsid w:val="003079F3"/>
    <w:rsid w:val="003100F1"/>
    <w:rsid w:val="00312A18"/>
    <w:rsid w:val="00313502"/>
    <w:rsid w:val="00313A63"/>
    <w:rsid w:val="003140A9"/>
    <w:rsid w:val="003168B4"/>
    <w:rsid w:val="003173BB"/>
    <w:rsid w:val="003226BF"/>
    <w:rsid w:val="00322A44"/>
    <w:rsid w:val="00326A5D"/>
    <w:rsid w:val="003279AF"/>
    <w:rsid w:val="00330098"/>
    <w:rsid w:val="00331176"/>
    <w:rsid w:val="00331EB5"/>
    <w:rsid w:val="003328E1"/>
    <w:rsid w:val="0033318D"/>
    <w:rsid w:val="00334E0F"/>
    <w:rsid w:val="00335422"/>
    <w:rsid w:val="00340E67"/>
    <w:rsid w:val="00340EEE"/>
    <w:rsid w:val="003460FE"/>
    <w:rsid w:val="003462D8"/>
    <w:rsid w:val="00346EB3"/>
    <w:rsid w:val="00346FFA"/>
    <w:rsid w:val="00350B7B"/>
    <w:rsid w:val="00351C22"/>
    <w:rsid w:val="00355084"/>
    <w:rsid w:val="003608B1"/>
    <w:rsid w:val="00360C41"/>
    <w:rsid w:val="00361B6E"/>
    <w:rsid w:val="003645C7"/>
    <w:rsid w:val="00365675"/>
    <w:rsid w:val="0036598F"/>
    <w:rsid w:val="003659F8"/>
    <w:rsid w:val="00365DEA"/>
    <w:rsid w:val="0036651E"/>
    <w:rsid w:val="00366844"/>
    <w:rsid w:val="00366CCE"/>
    <w:rsid w:val="0036771E"/>
    <w:rsid w:val="003716C3"/>
    <w:rsid w:val="00372657"/>
    <w:rsid w:val="003739E0"/>
    <w:rsid w:val="00375651"/>
    <w:rsid w:val="0037594E"/>
    <w:rsid w:val="00376670"/>
    <w:rsid w:val="00376786"/>
    <w:rsid w:val="00380F95"/>
    <w:rsid w:val="003820E2"/>
    <w:rsid w:val="0038338A"/>
    <w:rsid w:val="00384057"/>
    <w:rsid w:val="00384239"/>
    <w:rsid w:val="00385421"/>
    <w:rsid w:val="00385E16"/>
    <w:rsid w:val="00386222"/>
    <w:rsid w:val="00387510"/>
    <w:rsid w:val="0039103E"/>
    <w:rsid w:val="00391468"/>
    <w:rsid w:val="00391DC6"/>
    <w:rsid w:val="00392133"/>
    <w:rsid w:val="00395E97"/>
    <w:rsid w:val="00395F31"/>
    <w:rsid w:val="0039615C"/>
    <w:rsid w:val="003A0748"/>
    <w:rsid w:val="003A1F86"/>
    <w:rsid w:val="003A3CCB"/>
    <w:rsid w:val="003A4E61"/>
    <w:rsid w:val="003A5A87"/>
    <w:rsid w:val="003B0EFA"/>
    <w:rsid w:val="003B1D00"/>
    <w:rsid w:val="003B3A0F"/>
    <w:rsid w:val="003B492A"/>
    <w:rsid w:val="003B607D"/>
    <w:rsid w:val="003B645A"/>
    <w:rsid w:val="003B6792"/>
    <w:rsid w:val="003B75EA"/>
    <w:rsid w:val="003B772B"/>
    <w:rsid w:val="003B7A3F"/>
    <w:rsid w:val="003C1CE6"/>
    <w:rsid w:val="003C3DDE"/>
    <w:rsid w:val="003C4CA3"/>
    <w:rsid w:val="003C5DE2"/>
    <w:rsid w:val="003C68F0"/>
    <w:rsid w:val="003C6D38"/>
    <w:rsid w:val="003D000F"/>
    <w:rsid w:val="003D03F4"/>
    <w:rsid w:val="003D3244"/>
    <w:rsid w:val="003D53C1"/>
    <w:rsid w:val="003D7912"/>
    <w:rsid w:val="003E0A7E"/>
    <w:rsid w:val="003E0FDC"/>
    <w:rsid w:val="003E15A1"/>
    <w:rsid w:val="003E162E"/>
    <w:rsid w:val="003E23C1"/>
    <w:rsid w:val="003E2CFB"/>
    <w:rsid w:val="003E40FB"/>
    <w:rsid w:val="003E48E0"/>
    <w:rsid w:val="003E538C"/>
    <w:rsid w:val="003E5FDF"/>
    <w:rsid w:val="003E74BB"/>
    <w:rsid w:val="003E7962"/>
    <w:rsid w:val="003F05E7"/>
    <w:rsid w:val="003F0BD0"/>
    <w:rsid w:val="003F13DF"/>
    <w:rsid w:val="003F1C0E"/>
    <w:rsid w:val="003F26B1"/>
    <w:rsid w:val="003F3CF6"/>
    <w:rsid w:val="003F50B9"/>
    <w:rsid w:val="003F775F"/>
    <w:rsid w:val="003F7A46"/>
    <w:rsid w:val="00400A06"/>
    <w:rsid w:val="0040134B"/>
    <w:rsid w:val="00401E14"/>
    <w:rsid w:val="00402155"/>
    <w:rsid w:val="004045E4"/>
    <w:rsid w:val="00404822"/>
    <w:rsid w:val="00404A56"/>
    <w:rsid w:val="00404C99"/>
    <w:rsid w:val="00406523"/>
    <w:rsid w:val="00411772"/>
    <w:rsid w:val="004133AF"/>
    <w:rsid w:val="004140EB"/>
    <w:rsid w:val="0041755E"/>
    <w:rsid w:val="0042196C"/>
    <w:rsid w:val="00421C88"/>
    <w:rsid w:val="00422FD4"/>
    <w:rsid w:val="00423ABB"/>
    <w:rsid w:val="00424793"/>
    <w:rsid w:val="00425D7C"/>
    <w:rsid w:val="00426BE9"/>
    <w:rsid w:val="004307DF"/>
    <w:rsid w:val="00431B54"/>
    <w:rsid w:val="0043331D"/>
    <w:rsid w:val="00433987"/>
    <w:rsid w:val="00435789"/>
    <w:rsid w:val="00436174"/>
    <w:rsid w:val="00436479"/>
    <w:rsid w:val="0043653D"/>
    <w:rsid w:val="00437DE7"/>
    <w:rsid w:val="004413A0"/>
    <w:rsid w:val="00441847"/>
    <w:rsid w:val="00442085"/>
    <w:rsid w:val="00444D42"/>
    <w:rsid w:val="0044594A"/>
    <w:rsid w:val="0044688F"/>
    <w:rsid w:val="00450282"/>
    <w:rsid w:val="00450C7F"/>
    <w:rsid w:val="00450D52"/>
    <w:rsid w:val="00451F8B"/>
    <w:rsid w:val="0045338C"/>
    <w:rsid w:val="0045419F"/>
    <w:rsid w:val="00454278"/>
    <w:rsid w:val="0045429B"/>
    <w:rsid w:val="00456496"/>
    <w:rsid w:val="004613EE"/>
    <w:rsid w:val="0046411E"/>
    <w:rsid w:val="0046690C"/>
    <w:rsid w:val="00466E43"/>
    <w:rsid w:val="00470EC1"/>
    <w:rsid w:val="0047420A"/>
    <w:rsid w:val="0047689B"/>
    <w:rsid w:val="00476C5B"/>
    <w:rsid w:val="00481A19"/>
    <w:rsid w:val="00481DDF"/>
    <w:rsid w:val="0048216F"/>
    <w:rsid w:val="00482746"/>
    <w:rsid w:val="00482E7A"/>
    <w:rsid w:val="00485602"/>
    <w:rsid w:val="00485B79"/>
    <w:rsid w:val="00486722"/>
    <w:rsid w:val="0048676C"/>
    <w:rsid w:val="00490D7D"/>
    <w:rsid w:val="00495272"/>
    <w:rsid w:val="00495381"/>
    <w:rsid w:val="004953B2"/>
    <w:rsid w:val="00496FE5"/>
    <w:rsid w:val="004A118A"/>
    <w:rsid w:val="004A2084"/>
    <w:rsid w:val="004A3112"/>
    <w:rsid w:val="004A7027"/>
    <w:rsid w:val="004A78ED"/>
    <w:rsid w:val="004B362D"/>
    <w:rsid w:val="004B3A3A"/>
    <w:rsid w:val="004B5547"/>
    <w:rsid w:val="004C0B08"/>
    <w:rsid w:val="004C0EEA"/>
    <w:rsid w:val="004C57C3"/>
    <w:rsid w:val="004D115C"/>
    <w:rsid w:val="004D3DCA"/>
    <w:rsid w:val="004D446B"/>
    <w:rsid w:val="004D55E9"/>
    <w:rsid w:val="004D6AD9"/>
    <w:rsid w:val="004D7245"/>
    <w:rsid w:val="004E1017"/>
    <w:rsid w:val="004E26E9"/>
    <w:rsid w:val="004E3283"/>
    <w:rsid w:val="004E3448"/>
    <w:rsid w:val="004E49E5"/>
    <w:rsid w:val="004E6943"/>
    <w:rsid w:val="004F0508"/>
    <w:rsid w:val="004F1C6F"/>
    <w:rsid w:val="004F2476"/>
    <w:rsid w:val="004F3624"/>
    <w:rsid w:val="004F3774"/>
    <w:rsid w:val="004F3B6F"/>
    <w:rsid w:val="004F3EC1"/>
    <w:rsid w:val="004F5F11"/>
    <w:rsid w:val="00501648"/>
    <w:rsid w:val="0050278E"/>
    <w:rsid w:val="00503FE4"/>
    <w:rsid w:val="00504104"/>
    <w:rsid w:val="00505417"/>
    <w:rsid w:val="00506A15"/>
    <w:rsid w:val="0050708B"/>
    <w:rsid w:val="005070AB"/>
    <w:rsid w:val="005071E0"/>
    <w:rsid w:val="00507A19"/>
    <w:rsid w:val="00510984"/>
    <w:rsid w:val="00511E7D"/>
    <w:rsid w:val="005129A0"/>
    <w:rsid w:val="00513B77"/>
    <w:rsid w:val="005167C8"/>
    <w:rsid w:val="00517561"/>
    <w:rsid w:val="005203FD"/>
    <w:rsid w:val="005255F2"/>
    <w:rsid w:val="005258F9"/>
    <w:rsid w:val="00526A5C"/>
    <w:rsid w:val="00527BE3"/>
    <w:rsid w:val="005315D8"/>
    <w:rsid w:val="00532C6B"/>
    <w:rsid w:val="00532E77"/>
    <w:rsid w:val="005331AA"/>
    <w:rsid w:val="005346DB"/>
    <w:rsid w:val="00534B4B"/>
    <w:rsid w:val="00534F4A"/>
    <w:rsid w:val="005364BB"/>
    <w:rsid w:val="00536671"/>
    <w:rsid w:val="005368BD"/>
    <w:rsid w:val="00537086"/>
    <w:rsid w:val="005378C3"/>
    <w:rsid w:val="00537CA0"/>
    <w:rsid w:val="00537E63"/>
    <w:rsid w:val="0054124F"/>
    <w:rsid w:val="0054564C"/>
    <w:rsid w:val="00547084"/>
    <w:rsid w:val="00550982"/>
    <w:rsid w:val="00550EB3"/>
    <w:rsid w:val="00551547"/>
    <w:rsid w:val="005529A6"/>
    <w:rsid w:val="00553153"/>
    <w:rsid w:val="0055376C"/>
    <w:rsid w:val="00553BA2"/>
    <w:rsid w:val="00555100"/>
    <w:rsid w:val="00555A9B"/>
    <w:rsid w:val="005566DB"/>
    <w:rsid w:val="005606F7"/>
    <w:rsid w:val="005616E5"/>
    <w:rsid w:val="00561FFA"/>
    <w:rsid w:val="00563E25"/>
    <w:rsid w:val="005647C7"/>
    <w:rsid w:val="00572A67"/>
    <w:rsid w:val="0058097F"/>
    <w:rsid w:val="00581DE0"/>
    <w:rsid w:val="005824B3"/>
    <w:rsid w:val="005838A1"/>
    <w:rsid w:val="00584460"/>
    <w:rsid w:val="00585CEE"/>
    <w:rsid w:val="00585D7C"/>
    <w:rsid w:val="00590F6F"/>
    <w:rsid w:val="00591BA1"/>
    <w:rsid w:val="00594D4C"/>
    <w:rsid w:val="005950B4"/>
    <w:rsid w:val="00595758"/>
    <w:rsid w:val="00596B52"/>
    <w:rsid w:val="005A3BCB"/>
    <w:rsid w:val="005A4E90"/>
    <w:rsid w:val="005A68F3"/>
    <w:rsid w:val="005A715B"/>
    <w:rsid w:val="005A7322"/>
    <w:rsid w:val="005B145B"/>
    <w:rsid w:val="005B1D49"/>
    <w:rsid w:val="005B3EE3"/>
    <w:rsid w:val="005B5E41"/>
    <w:rsid w:val="005B6B6D"/>
    <w:rsid w:val="005B7597"/>
    <w:rsid w:val="005C1795"/>
    <w:rsid w:val="005C2014"/>
    <w:rsid w:val="005C26C0"/>
    <w:rsid w:val="005C3822"/>
    <w:rsid w:val="005C3E9C"/>
    <w:rsid w:val="005C6157"/>
    <w:rsid w:val="005C7BAA"/>
    <w:rsid w:val="005C7D18"/>
    <w:rsid w:val="005D0335"/>
    <w:rsid w:val="005D2489"/>
    <w:rsid w:val="005D2C1A"/>
    <w:rsid w:val="005D5237"/>
    <w:rsid w:val="005D5855"/>
    <w:rsid w:val="005D6B58"/>
    <w:rsid w:val="005D7E61"/>
    <w:rsid w:val="005E01D4"/>
    <w:rsid w:val="005E1184"/>
    <w:rsid w:val="005E1B72"/>
    <w:rsid w:val="005E24EB"/>
    <w:rsid w:val="005E3D95"/>
    <w:rsid w:val="005E499C"/>
    <w:rsid w:val="005E5B2F"/>
    <w:rsid w:val="005E618C"/>
    <w:rsid w:val="005F1E2A"/>
    <w:rsid w:val="005F3DF6"/>
    <w:rsid w:val="005F402A"/>
    <w:rsid w:val="00601A4D"/>
    <w:rsid w:val="00603FFF"/>
    <w:rsid w:val="00605E95"/>
    <w:rsid w:val="00605EAB"/>
    <w:rsid w:val="006064FF"/>
    <w:rsid w:val="006068D3"/>
    <w:rsid w:val="006069E8"/>
    <w:rsid w:val="00610DA8"/>
    <w:rsid w:val="00611C54"/>
    <w:rsid w:val="006140CF"/>
    <w:rsid w:val="006149A3"/>
    <w:rsid w:val="00615378"/>
    <w:rsid w:val="0061553C"/>
    <w:rsid w:val="00616259"/>
    <w:rsid w:val="006162AC"/>
    <w:rsid w:val="00617079"/>
    <w:rsid w:val="00620528"/>
    <w:rsid w:val="0062549B"/>
    <w:rsid w:val="00625FA2"/>
    <w:rsid w:val="0063070F"/>
    <w:rsid w:val="00631271"/>
    <w:rsid w:val="00631CBF"/>
    <w:rsid w:val="00632187"/>
    <w:rsid w:val="0063365D"/>
    <w:rsid w:val="006347A7"/>
    <w:rsid w:val="006370B7"/>
    <w:rsid w:val="00640041"/>
    <w:rsid w:val="0064032A"/>
    <w:rsid w:val="00640521"/>
    <w:rsid w:val="00641936"/>
    <w:rsid w:val="00641993"/>
    <w:rsid w:val="0064252B"/>
    <w:rsid w:val="00642C97"/>
    <w:rsid w:val="00642F80"/>
    <w:rsid w:val="006437D5"/>
    <w:rsid w:val="0064464E"/>
    <w:rsid w:val="00646860"/>
    <w:rsid w:val="006505D4"/>
    <w:rsid w:val="00650F80"/>
    <w:rsid w:val="00651197"/>
    <w:rsid w:val="00651F90"/>
    <w:rsid w:val="006529DD"/>
    <w:rsid w:val="00653FF6"/>
    <w:rsid w:val="006552C5"/>
    <w:rsid w:val="006565BD"/>
    <w:rsid w:val="00660402"/>
    <w:rsid w:val="006614FD"/>
    <w:rsid w:val="00662D83"/>
    <w:rsid w:val="00663849"/>
    <w:rsid w:val="00663942"/>
    <w:rsid w:val="00663C49"/>
    <w:rsid w:val="0066619C"/>
    <w:rsid w:val="006667BD"/>
    <w:rsid w:val="0067014C"/>
    <w:rsid w:val="00672BEE"/>
    <w:rsid w:val="00673AB1"/>
    <w:rsid w:val="00674B19"/>
    <w:rsid w:val="006764AF"/>
    <w:rsid w:val="006767FA"/>
    <w:rsid w:val="00677A21"/>
    <w:rsid w:val="00680211"/>
    <w:rsid w:val="006810D2"/>
    <w:rsid w:val="0068271C"/>
    <w:rsid w:val="0068385F"/>
    <w:rsid w:val="00683E8D"/>
    <w:rsid w:val="00684EC7"/>
    <w:rsid w:val="00685BD4"/>
    <w:rsid w:val="0068768B"/>
    <w:rsid w:val="00687B96"/>
    <w:rsid w:val="00690285"/>
    <w:rsid w:val="00691A78"/>
    <w:rsid w:val="00696389"/>
    <w:rsid w:val="006973EC"/>
    <w:rsid w:val="006974BA"/>
    <w:rsid w:val="00697F19"/>
    <w:rsid w:val="006A1861"/>
    <w:rsid w:val="006A6F5F"/>
    <w:rsid w:val="006A73D3"/>
    <w:rsid w:val="006A7497"/>
    <w:rsid w:val="006A7810"/>
    <w:rsid w:val="006A7978"/>
    <w:rsid w:val="006A7E3F"/>
    <w:rsid w:val="006B2622"/>
    <w:rsid w:val="006B5CB2"/>
    <w:rsid w:val="006B5F84"/>
    <w:rsid w:val="006B649A"/>
    <w:rsid w:val="006B686B"/>
    <w:rsid w:val="006B723F"/>
    <w:rsid w:val="006B7515"/>
    <w:rsid w:val="006C1044"/>
    <w:rsid w:val="006C1259"/>
    <w:rsid w:val="006C15C8"/>
    <w:rsid w:val="006C2AE9"/>
    <w:rsid w:val="006C3DE1"/>
    <w:rsid w:val="006C52E8"/>
    <w:rsid w:val="006C607D"/>
    <w:rsid w:val="006D4085"/>
    <w:rsid w:val="006D4123"/>
    <w:rsid w:val="006D45BC"/>
    <w:rsid w:val="006D49D1"/>
    <w:rsid w:val="006D5100"/>
    <w:rsid w:val="006D6306"/>
    <w:rsid w:val="006D7D7B"/>
    <w:rsid w:val="006E1BDF"/>
    <w:rsid w:val="006E3C68"/>
    <w:rsid w:val="006E4E6D"/>
    <w:rsid w:val="006E6BC5"/>
    <w:rsid w:val="006E72CB"/>
    <w:rsid w:val="006E789B"/>
    <w:rsid w:val="006F16B9"/>
    <w:rsid w:val="006F281B"/>
    <w:rsid w:val="006F3254"/>
    <w:rsid w:val="006F3998"/>
    <w:rsid w:val="006F3A50"/>
    <w:rsid w:val="006F3E14"/>
    <w:rsid w:val="006F5CE6"/>
    <w:rsid w:val="006F64A2"/>
    <w:rsid w:val="006F6CB2"/>
    <w:rsid w:val="007009C4"/>
    <w:rsid w:val="00703A61"/>
    <w:rsid w:val="0070491E"/>
    <w:rsid w:val="00706FD7"/>
    <w:rsid w:val="00707613"/>
    <w:rsid w:val="007102BF"/>
    <w:rsid w:val="00710C73"/>
    <w:rsid w:val="00711C93"/>
    <w:rsid w:val="0071316A"/>
    <w:rsid w:val="00713CA3"/>
    <w:rsid w:val="00713E80"/>
    <w:rsid w:val="00715152"/>
    <w:rsid w:val="00716253"/>
    <w:rsid w:val="00716B8A"/>
    <w:rsid w:val="007172EA"/>
    <w:rsid w:val="00720AE2"/>
    <w:rsid w:val="00720B7A"/>
    <w:rsid w:val="00723595"/>
    <w:rsid w:val="00724454"/>
    <w:rsid w:val="007258E3"/>
    <w:rsid w:val="00731C4C"/>
    <w:rsid w:val="007334E6"/>
    <w:rsid w:val="00733A35"/>
    <w:rsid w:val="0073477A"/>
    <w:rsid w:val="00740687"/>
    <w:rsid w:val="007407AC"/>
    <w:rsid w:val="00740E01"/>
    <w:rsid w:val="00741CA9"/>
    <w:rsid w:val="007433D4"/>
    <w:rsid w:val="0074406D"/>
    <w:rsid w:val="00745C2D"/>
    <w:rsid w:val="00746307"/>
    <w:rsid w:val="00750782"/>
    <w:rsid w:val="00750CA6"/>
    <w:rsid w:val="00753C8F"/>
    <w:rsid w:val="00756458"/>
    <w:rsid w:val="007575C2"/>
    <w:rsid w:val="00763A5F"/>
    <w:rsid w:val="00764A5E"/>
    <w:rsid w:val="0076570B"/>
    <w:rsid w:val="0076635D"/>
    <w:rsid w:val="00767186"/>
    <w:rsid w:val="00770DF9"/>
    <w:rsid w:val="007733A6"/>
    <w:rsid w:val="00773843"/>
    <w:rsid w:val="007739C9"/>
    <w:rsid w:val="00773DD4"/>
    <w:rsid w:val="007743A7"/>
    <w:rsid w:val="00776A50"/>
    <w:rsid w:val="00780B0E"/>
    <w:rsid w:val="007820DE"/>
    <w:rsid w:val="00782605"/>
    <w:rsid w:val="00782734"/>
    <w:rsid w:val="007827E9"/>
    <w:rsid w:val="00783386"/>
    <w:rsid w:val="00785D5B"/>
    <w:rsid w:val="007910B4"/>
    <w:rsid w:val="007922AD"/>
    <w:rsid w:val="00793306"/>
    <w:rsid w:val="007950C8"/>
    <w:rsid w:val="00795B19"/>
    <w:rsid w:val="00795FC7"/>
    <w:rsid w:val="00796651"/>
    <w:rsid w:val="0079727C"/>
    <w:rsid w:val="00797E09"/>
    <w:rsid w:val="00797F38"/>
    <w:rsid w:val="007A05D1"/>
    <w:rsid w:val="007A0E65"/>
    <w:rsid w:val="007A19E1"/>
    <w:rsid w:val="007A2B38"/>
    <w:rsid w:val="007A480A"/>
    <w:rsid w:val="007A531F"/>
    <w:rsid w:val="007A56B6"/>
    <w:rsid w:val="007A709A"/>
    <w:rsid w:val="007B08A3"/>
    <w:rsid w:val="007B1709"/>
    <w:rsid w:val="007B24F7"/>
    <w:rsid w:val="007B3358"/>
    <w:rsid w:val="007B44AE"/>
    <w:rsid w:val="007B5E7E"/>
    <w:rsid w:val="007B6657"/>
    <w:rsid w:val="007C01AC"/>
    <w:rsid w:val="007C0773"/>
    <w:rsid w:val="007C0897"/>
    <w:rsid w:val="007C1D95"/>
    <w:rsid w:val="007C57E3"/>
    <w:rsid w:val="007C7D48"/>
    <w:rsid w:val="007D1A56"/>
    <w:rsid w:val="007D1BE1"/>
    <w:rsid w:val="007D4800"/>
    <w:rsid w:val="007D56A7"/>
    <w:rsid w:val="007D63B5"/>
    <w:rsid w:val="007E06F6"/>
    <w:rsid w:val="007E0F4A"/>
    <w:rsid w:val="007E1731"/>
    <w:rsid w:val="007E186C"/>
    <w:rsid w:val="007E1A3E"/>
    <w:rsid w:val="007E1BD3"/>
    <w:rsid w:val="007E4C74"/>
    <w:rsid w:val="007E59E6"/>
    <w:rsid w:val="007E75C1"/>
    <w:rsid w:val="007F2494"/>
    <w:rsid w:val="007F411A"/>
    <w:rsid w:val="007F6776"/>
    <w:rsid w:val="007F6AD7"/>
    <w:rsid w:val="00804A8C"/>
    <w:rsid w:val="00805020"/>
    <w:rsid w:val="008057BD"/>
    <w:rsid w:val="00810C0C"/>
    <w:rsid w:val="00813456"/>
    <w:rsid w:val="00815C6C"/>
    <w:rsid w:val="008161D5"/>
    <w:rsid w:val="00816475"/>
    <w:rsid w:val="00816B02"/>
    <w:rsid w:val="008176E9"/>
    <w:rsid w:val="00822A5B"/>
    <w:rsid w:val="00825306"/>
    <w:rsid w:val="008256B3"/>
    <w:rsid w:val="0082612A"/>
    <w:rsid w:val="00830084"/>
    <w:rsid w:val="008304C1"/>
    <w:rsid w:val="0083136E"/>
    <w:rsid w:val="00833443"/>
    <w:rsid w:val="00835C89"/>
    <w:rsid w:val="00836454"/>
    <w:rsid w:val="00840C1B"/>
    <w:rsid w:val="008414CD"/>
    <w:rsid w:val="00842CD6"/>
    <w:rsid w:val="00843FD0"/>
    <w:rsid w:val="0084463F"/>
    <w:rsid w:val="00845C7F"/>
    <w:rsid w:val="0084635C"/>
    <w:rsid w:val="00846B0D"/>
    <w:rsid w:val="008554DC"/>
    <w:rsid w:val="0085564D"/>
    <w:rsid w:val="0085677E"/>
    <w:rsid w:val="00856EFE"/>
    <w:rsid w:val="00863654"/>
    <w:rsid w:val="0086451F"/>
    <w:rsid w:val="00865C5A"/>
    <w:rsid w:val="00866076"/>
    <w:rsid w:val="00866329"/>
    <w:rsid w:val="008671BA"/>
    <w:rsid w:val="00867581"/>
    <w:rsid w:val="00872920"/>
    <w:rsid w:val="00873521"/>
    <w:rsid w:val="008740A2"/>
    <w:rsid w:val="00874996"/>
    <w:rsid w:val="008757E4"/>
    <w:rsid w:val="00876973"/>
    <w:rsid w:val="00881B30"/>
    <w:rsid w:val="00881CC5"/>
    <w:rsid w:val="00882B62"/>
    <w:rsid w:val="0088409F"/>
    <w:rsid w:val="00884ADB"/>
    <w:rsid w:val="0088788B"/>
    <w:rsid w:val="00887F2E"/>
    <w:rsid w:val="008913DD"/>
    <w:rsid w:val="00892FE8"/>
    <w:rsid w:val="00893A9C"/>
    <w:rsid w:val="00893E01"/>
    <w:rsid w:val="008957FE"/>
    <w:rsid w:val="008961F6"/>
    <w:rsid w:val="008A06BE"/>
    <w:rsid w:val="008A57FD"/>
    <w:rsid w:val="008A5858"/>
    <w:rsid w:val="008A6596"/>
    <w:rsid w:val="008A6CDF"/>
    <w:rsid w:val="008A717B"/>
    <w:rsid w:val="008B182A"/>
    <w:rsid w:val="008B51AA"/>
    <w:rsid w:val="008B5DF9"/>
    <w:rsid w:val="008B6BFD"/>
    <w:rsid w:val="008B7C14"/>
    <w:rsid w:val="008B7DCF"/>
    <w:rsid w:val="008B7E62"/>
    <w:rsid w:val="008C09FA"/>
    <w:rsid w:val="008C178B"/>
    <w:rsid w:val="008C3155"/>
    <w:rsid w:val="008C62A0"/>
    <w:rsid w:val="008C6AD7"/>
    <w:rsid w:val="008C7A80"/>
    <w:rsid w:val="008D286C"/>
    <w:rsid w:val="008D5363"/>
    <w:rsid w:val="008D5AE4"/>
    <w:rsid w:val="008D61A1"/>
    <w:rsid w:val="008D6D46"/>
    <w:rsid w:val="008E14A4"/>
    <w:rsid w:val="008E1C94"/>
    <w:rsid w:val="008E4E2E"/>
    <w:rsid w:val="008E4F08"/>
    <w:rsid w:val="008E547B"/>
    <w:rsid w:val="008E636A"/>
    <w:rsid w:val="008F1890"/>
    <w:rsid w:val="008F1F85"/>
    <w:rsid w:val="008F2460"/>
    <w:rsid w:val="008F2AAC"/>
    <w:rsid w:val="008F2BBB"/>
    <w:rsid w:val="008F3FA9"/>
    <w:rsid w:val="008F7BA4"/>
    <w:rsid w:val="009000EE"/>
    <w:rsid w:val="00900566"/>
    <w:rsid w:val="00901625"/>
    <w:rsid w:val="009016CA"/>
    <w:rsid w:val="009017CF"/>
    <w:rsid w:val="00901A9E"/>
    <w:rsid w:val="0090307B"/>
    <w:rsid w:val="009040FD"/>
    <w:rsid w:val="009046AB"/>
    <w:rsid w:val="009055F8"/>
    <w:rsid w:val="00906845"/>
    <w:rsid w:val="009109DC"/>
    <w:rsid w:val="00911445"/>
    <w:rsid w:val="00912FF0"/>
    <w:rsid w:val="00913D44"/>
    <w:rsid w:val="00914270"/>
    <w:rsid w:val="00915027"/>
    <w:rsid w:val="00917F25"/>
    <w:rsid w:val="009203A7"/>
    <w:rsid w:val="00920A73"/>
    <w:rsid w:val="00920A7B"/>
    <w:rsid w:val="00921131"/>
    <w:rsid w:val="00921DB5"/>
    <w:rsid w:val="009248C9"/>
    <w:rsid w:val="00924B85"/>
    <w:rsid w:val="00926FDF"/>
    <w:rsid w:val="00930074"/>
    <w:rsid w:val="0093120F"/>
    <w:rsid w:val="00934C58"/>
    <w:rsid w:val="00934F79"/>
    <w:rsid w:val="009357A0"/>
    <w:rsid w:val="00935870"/>
    <w:rsid w:val="00936DEC"/>
    <w:rsid w:val="009378A7"/>
    <w:rsid w:val="00937AE8"/>
    <w:rsid w:val="009400B2"/>
    <w:rsid w:val="0094039C"/>
    <w:rsid w:val="0094047B"/>
    <w:rsid w:val="009409BB"/>
    <w:rsid w:val="00943220"/>
    <w:rsid w:val="00943D11"/>
    <w:rsid w:val="00946EEE"/>
    <w:rsid w:val="009473D1"/>
    <w:rsid w:val="00951ADE"/>
    <w:rsid w:val="00953C91"/>
    <w:rsid w:val="009540CA"/>
    <w:rsid w:val="00955D1B"/>
    <w:rsid w:val="009609B7"/>
    <w:rsid w:val="00965FDA"/>
    <w:rsid w:val="00966911"/>
    <w:rsid w:val="00967423"/>
    <w:rsid w:val="0097137C"/>
    <w:rsid w:val="00972AFD"/>
    <w:rsid w:val="00973A08"/>
    <w:rsid w:val="009753D2"/>
    <w:rsid w:val="009756CA"/>
    <w:rsid w:val="00975D6D"/>
    <w:rsid w:val="00980561"/>
    <w:rsid w:val="009813FE"/>
    <w:rsid w:val="0098198D"/>
    <w:rsid w:val="009829E1"/>
    <w:rsid w:val="00982B39"/>
    <w:rsid w:val="00982C02"/>
    <w:rsid w:val="00983272"/>
    <w:rsid w:val="0098340E"/>
    <w:rsid w:val="00983721"/>
    <w:rsid w:val="00983BA2"/>
    <w:rsid w:val="00984196"/>
    <w:rsid w:val="00985261"/>
    <w:rsid w:val="009855F6"/>
    <w:rsid w:val="00990256"/>
    <w:rsid w:val="0099025E"/>
    <w:rsid w:val="00991389"/>
    <w:rsid w:val="00994670"/>
    <w:rsid w:val="00995325"/>
    <w:rsid w:val="00995D12"/>
    <w:rsid w:val="00997ECA"/>
    <w:rsid w:val="009A0183"/>
    <w:rsid w:val="009A0ACA"/>
    <w:rsid w:val="009A1071"/>
    <w:rsid w:val="009A1790"/>
    <w:rsid w:val="009A19B6"/>
    <w:rsid w:val="009A2E8B"/>
    <w:rsid w:val="009A32D4"/>
    <w:rsid w:val="009A4573"/>
    <w:rsid w:val="009A6EB4"/>
    <w:rsid w:val="009B0813"/>
    <w:rsid w:val="009B1BFB"/>
    <w:rsid w:val="009B38A7"/>
    <w:rsid w:val="009B4140"/>
    <w:rsid w:val="009B45DB"/>
    <w:rsid w:val="009B4738"/>
    <w:rsid w:val="009B5346"/>
    <w:rsid w:val="009C1496"/>
    <w:rsid w:val="009C2AC3"/>
    <w:rsid w:val="009C6F09"/>
    <w:rsid w:val="009D0667"/>
    <w:rsid w:val="009D6468"/>
    <w:rsid w:val="009D747C"/>
    <w:rsid w:val="009E0518"/>
    <w:rsid w:val="009E094E"/>
    <w:rsid w:val="009E1035"/>
    <w:rsid w:val="009E1BC6"/>
    <w:rsid w:val="009E4C26"/>
    <w:rsid w:val="009F20D8"/>
    <w:rsid w:val="009F21A0"/>
    <w:rsid w:val="009F344E"/>
    <w:rsid w:val="009F59B3"/>
    <w:rsid w:val="009F66E5"/>
    <w:rsid w:val="00A0045E"/>
    <w:rsid w:val="00A0080E"/>
    <w:rsid w:val="00A026DE"/>
    <w:rsid w:val="00A057ED"/>
    <w:rsid w:val="00A06017"/>
    <w:rsid w:val="00A108E9"/>
    <w:rsid w:val="00A10E59"/>
    <w:rsid w:val="00A13B33"/>
    <w:rsid w:val="00A13EB3"/>
    <w:rsid w:val="00A1404F"/>
    <w:rsid w:val="00A1486C"/>
    <w:rsid w:val="00A1499C"/>
    <w:rsid w:val="00A14AFE"/>
    <w:rsid w:val="00A15608"/>
    <w:rsid w:val="00A15972"/>
    <w:rsid w:val="00A16AC1"/>
    <w:rsid w:val="00A17B0F"/>
    <w:rsid w:val="00A17E09"/>
    <w:rsid w:val="00A20624"/>
    <w:rsid w:val="00A21233"/>
    <w:rsid w:val="00A23EF8"/>
    <w:rsid w:val="00A2635C"/>
    <w:rsid w:val="00A26D88"/>
    <w:rsid w:val="00A27596"/>
    <w:rsid w:val="00A30213"/>
    <w:rsid w:val="00A30ADD"/>
    <w:rsid w:val="00A316FC"/>
    <w:rsid w:val="00A31BB2"/>
    <w:rsid w:val="00A325BD"/>
    <w:rsid w:val="00A32FE7"/>
    <w:rsid w:val="00A33DE9"/>
    <w:rsid w:val="00A36C3B"/>
    <w:rsid w:val="00A37D2D"/>
    <w:rsid w:val="00A41BE4"/>
    <w:rsid w:val="00A425ED"/>
    <w:rsid w:val="00A437E7"/>
    <w:rsid w:val="00A43A04"/>
    <w:rsid w:val="00A4449E"/>
    <w:rsid w:val="00A44E3F"/>
    <w:rsid w:val="00A4697A"/>
    <w:rsid w:val="00A4710B"/>
    <w:rsid w:val="00A474C3"/>
    <w:rsid w:val="00A47979"/>
    <w:rsid w:val="00A5107E"/>
    <w:rsid w:val="00A51ECD"/>
    <w:rsid w:val="00A5316E"/>
    <w:rsid w:val="00A554BE"/>
    <w:rsid w:val="00A55774"/>
    <w:rsid w:val="00A561E4"/>
    <w:rsid w:val="00A56652"/>
    <w:rsid w:val="00A568FF"/>
    <w:rsid w:val="00A6306E"/>
    <w:rsid w:val="00A656AE"/>
    <w:rsid w:val="00A66516"/>
    <w:rsid w:val="00A71BC5"/>
    <w:rsid w:val="00A72574"/>
    <w:rsid w:val="00A7320B"/>
    <w:rsid w:val="00A73A33"/>
    <w:rsid w:val="00A74171"/>
    <w:rsid w:val="00A809E6"/>
    <w:rsid w:val="00A8150B"/>
    <w:rsid w:val="00A815EB"/>
    <w:rsid w:val="00A8635C"/>
    <w:rsid w:val="00A87596"/>
    <w:rsid w:val="00A8780D"/>
    <w:rsid w:val="00A90480"/>
    <w:rsid w:val="00A9311B"/>
    <w:rsid w:val="00A93D50"/>
    <w:rsid w:val="00A93F2D"/>
    <w:rsid w:val="00A9587A"/>
    <w:rsid w:val="00A9650E"/>
    <w:rsid w:val="00A96AE9"/>
    <w:rsid w:val="00A9742F"/>
    <w:rsid w:val="00A974D3"/>
    <w:rsid w:val="00A97E14"/>
    <w:rsid w:val="00AA02B3"/>
    <w:rsid w:val="00AA23DA"/>
    <w:rsid w:val="00AA2562"/>
    <w:rsid w:val="00AA2F16"/>
    <w:rsid w:val="00AA4499"/>
    <w:rsid w:val="00AA44C5"/>
    <w:rsid w:val="00AA50D1"/>
    <w:rsid w:val="00AA6B69"/>
    <w:rsid w:val="00AA76A1"/>
    <w:rsid w:val="00AA7E3F"/>
    <w:rsid w:val="00AB002C"/>
    <w:rsid w:val="00AB0125"/>
    <w:rsid w:val="00AB131D"/>
    <w:rsid w:val="00AB209B"/>
    <w:rsid w:val="00AB4CDE"/>
    <w:rsid w:val="00AB56A8"/>
    <w:rsid w:val="00AB6A1E"/>
    <w:rsid w:val="00AB6E47"/>
    <w:rsid w:val="00AC0415"/>
    <w:rsid w:val="00AC09DD"/>
    <w:rsid w:val="00AC28EA"/>
    <w:rsid w:val="00AC53A7"/>
    <w:rsid w:val="00AC6054"/>
    <w:rsid w:val="00AC7B2C"/>
    <w:rsid w:val="00AD12C8"/>
    <w:rsid w:val="00AD22E0"/>
    <w:rsid w:val="00AD2CC5"/>
    <w:rsid w:val="00AD41AA"/>
    <w:rsid w:val="00AD4290"/>
    <w:rsid w:val="00AD45D9"/>
    <w:rsid w:val="00AD4F1A"/>
    <w:rsid w:val="00AD6B97"/>
    <w:rsid w:val="00AD6F17"/>
    <w:rsid w:val="00AD7053"/>
    <w:rsid w:val="00AD7120"/>
    <w:rsid w:val="00AE1649"/>
    <w:rsid w:val="00AE17BC"/>
    <w:rsid w:val="00AE502A"/>
    <w:rsid w:val="00AE509F"/>
    <w:rsid w:val="00AE7C91"/>
    <w:rsid w:val="00AE7FFE"/>
    <w:rsid w:val="00AF34FC"/>
    <w:rsid w:val="00AF3737"/>
    <w:rsid w:val="00AF39DF"/>
    <w:rsid w:val="00AF4467"/>
    <w:rsid w:val="00AF480D"/>
    <w:rsid w:val="00AF7491"/>
    <w:rsid w:val="00AF7FED"/>
    <w:rsid w:val="00B009BC"/>
    <w:rsid w:val="00B00B1C"/>
    <w:rsid w:val="00B01AFA"/>
    <w:rsid w:val="00B02698"/>
    <w:rsid w:val="00B04572"/>
    <w:rsid w:val="00B05AD9"/>
    <w:rsid w:val="00B05CA0"/>
    <w:rsid w:val="00B05F01"/>
    <w:rsid w:val="00B06C10"/>
    <w:rsid w:val="00B10155"/>
    <w:rsid w:val="00B16C63"/>
    <w:rsid w:val="00B1756E"/>
    <w:rsid w:val="00B17A9D"/>
    <w:rsid w:val="00B20AD4"/>
    <w:rsid w:val="00B20C38"/>
    <w:rsid w:val="00B21F09"/>
    <w:rsid w:val="00B22501"/>
    <w:rsid w:val="00B226FB"/>
    <w:rsid w:val="00B23A70"/>
    <w:rsid w:val="00B26D9E"/>
    <w:rsid w:val="00B30C04"/>
    <w:rsid w:val="00B30E4C"/>
    <w:rsid w:val="00B3401D"/>
    <w:rsid w:val="00B34A0A"/>
    <w:rsid w:val="00B35F26"/>
    <w:rsid w:val="00B361BA"/>
    <w:rsid w:val="00B362B1"/>
    <w:rsid w:val="00B37275"/>
    <w:rsid w:val="00B41B00"/>
    <w:rsid w:val="00B451D8"/>
    <w:rsid w:val="00B46DEA"/>
    <w:rsid w:val="00B47849"/>
    <w:rsid w:val="00B53931"/>
    <w:rsid w:val="00B54173"/>
    <w:rsid w:val="00B54CBE"/>
    <w:rsid w:val="00B55390"/>
    <w:rsid w:val="00B6081B"/>
    <w:rsid w:val="00B60DD0"/>
    <w:rsid w:val="00B66B57"/>
    <w:rsid w:val="00B673D8"/>
    <w:rsid w:val="00B708CC"/>
    <w:rsid w:val="00B71290"/>
    <w:rsid w:val="00B7190B"/>
    <w:rsid w:val="00B727E3"/>
    <w:rsid w:val="00B742E6"/>
    <w:rsid w:val="00B75973"/>
    <w:rsid w:val="00B802EC"/>
    <w:rsid w:val="00B805C1"/>
    <w:rsid w:val="00B81492"/>
    <w:rsid w:val="00B82959"/>
    <w:rsid w:val="00B83F5E"/>
    <w:rsid w:val="00B84E78"/>
    <w:rsid w:val="00B8592D"/>
    <w:rsid w:val="00B868E0"/>
    <w:rsid w:val="00B87898"/>
    <w:rsid w:val="00B87D2A"/>
    <w:rsid w:val="00B9086A"/>
    <w:rsid w:val="00B924BF"/>
    <w:rsid w:val="00B95C3C"/>
    <w:rsid w:val="00B96570"/>
    <w:rsid w:val="00B973B8"/>
    <w:rsid w:val="00B9752E"/>
    <w:rsid w:val="00B97829"/>
    <w:rsid w:val="00B97CDA"/>
    <w:rsid w:val="00BA0E4B"/>
    <w:rsid w:val="00BA2A3A"/>
    <w:rsid w:val="00BA3A73"/>
    <w:rsid w:val="00BA4C6A"/>
    <w:rsid w:val="00BA5FEB"/>
    <w:rsid w:val="00BA67C9"/>
    <w:rsid w:val="00BB15B2"/>
    <w:rsid w:val="00BB1F26"/>
    <w:rsid w:val="00BB3437"/>
    <w:rsid w:val="00BB3D48"/>
    <w:rsid w:val="00BB46CF"/>
    <w:rsid w:val="00BB65C4"/>
    <w:rsid w:val="00BB77D1"/>
    <w:rsid w:val="00BC008C"/>
    <w:rsid w:val="00BC0BAA"/>
    <w:rsid w:val="00BC119E"/>
    <w:rsid w:val="00BC16E2"/>
    <w:rsid w:val="00BC254E"/>
    <w:rsid w:val="00BC4DD3"/>
    <w:rsid w:val="00BD018A"/>
    <w:rsid w:val="00BD0518"/>
    <w:rsid w:val="00BD051D"/>
    <w:rsid w:val="00BD1890"/>
    <w:rsid w:val="00BD20AF"/>
    <w:rsid w:val="00BD22C1"/>
    <w:rsid w:val="00BD3732"/>
    <w:rsid w:val="00BD4878"/>
    <w:rsid w:val="00BE0704"/>
    <w:rsid w:val="00BE0D5E"/>
    <w:rsid w:val="00BE149D"/>
    <w:rsid w:val="00BE180C"/>
    <w:rsid w:val="00BE21AA"/>
    <w:rsid w:val="00BE2A1E"/>
    <w:rsid w:val="00BE2B95"/>
    <w:rsid w:val="00BE4CF9"/>
    <w:rsid w:val="00BE5E75"/>
    <w:rsid w:val="00BE7F7E"/>
    <w:rsid w:val="00BF23EE"/>
    <w:rsid w:val="00BF3016"/>
    <w:rsid w:val="00BF42DD"/>
    <w:rsid w:val="00BF6050"/>
    <w:rsid w:val="00C0185A"/>
    <w:rsid w:val="00C01C50"/>
    <w:rsid w:val="00C02842"/>
    <w:rsid w:val="00C02B6C"/>
    <w:rsid w:val="00C03183"/>
    <w:rsid w:val="00C04DCB"/>
    <w:rsid w:val="00C04EAF"/>
    <w:rsid w:val="00C06C8B"/>
    <w:rsid w:val="00C073FC"/>
    <w:rsid w:val="00C07B7E"/>
    <w:rsid w:val="00C1005F"/>
    <w:rsid w:val="00C15866"/>
    <w:rsid w:val="00C1702B"/>
    <w:rsid w:val="00C17EA1"/>
    <w:rsid w:val="00C20D7F"/>
    <w:rsid w:val="00C22326"/>
    <w:rsid w:val="00C231B7"/>
    <w:rsid w:val="00C23367"/>
    <w:rsid w:val="00C2350C"/>
    <w:rsid w:val="00C2385D"/>
    <w:rsid w:val="00C23FFD"/>
    <w:rsid w:val="00C24B3F"/>
    <w:rsid w:val="00C27E35"/>
    <w:rsid w:val="00C34DF0"/>
    <w:rsid w:val="00C35A8D"/>
    <w:rsid w:val="00C35BF9"/>
    <w:rsid w:val="00C36266"/>
    <w:rsid w:val="00C36C23"/>
    <w:rsid w:val="00C40F2C"/>
    <w:rsid w:val="00C42D40"/>
    <w:rsid w:val="00C43E6A"/>
    <w:rsid w:val="00C5060B"/>
    <w:rsid w:val="00C512AF"/>
    <w:rsid w:val="00C51EE8"/>
    <w:rsid w:val="00C52EA3"/>
    <w:rsid w:val="00C534B7"/>
    <w:rsid w:val="00C53F8E"/>
    <w:rsid w:val="00C56D36"/>
    <w:rsid w:val="00C60D86"/>
    <w:rsid w:val="00C6175D"/>
    <w:rsid w:val="00C6176A"/>
    <w:rsid w:val="00C61BA8"/>
    <w:rsid w:val="00C61C44"/>
    <w:rsid w:val="00C669F3"/>
    <w:rsid w:val="00C67F10"/>
    <w:rsid w:val="00C71E76"/>
    <w:rsid w:val="00C73526"/>
    <w:rsid w:val="00C764EC"/>
    <w:rsid w:val="00C800B9"/>
    <w:rsid w:val="00C802D0"/>
    <w:rsid w:val="00C8113E"/>
    <w:rsid w:val="00C81844"/>
    <w:rsid w:val="00C86033"/>
    <w:rsid w:val="00C905F2"/>
    <w:rsid w:val="00C906A9"/>
    <w:rsid w:val="00C9105D"/>
    <w:rsid w:val="00C92090"/>
    <w:rsid w:val="00C9231C"/>
    <w:rsid w:val="00C92C0B"/>
    <w:rsid w:val="00C94E18"/>
    <w:rsid w:val="00C955BA"/>
    <w:rsid w:val="00C967CA"/>
    <w:rsid w:val="00C974E2"/>
    <w:rsid w:val="00CA0663"/>
    <w:rsid w:val="00CA0990"/>
    <w:rsid w:val="00CA26EA"/>
    <w:rsid w:val="00CA5A4B"/>
    <w:rsid w:val="00CA5F88"/>
    <w:rsid w:val="00CB2009"/>
    <w:rsid w:val="00CB475C"/>
    <w:rsid w:val="00CB5636"/>
    <w:rsid w:val="00CB594F"/>
    <w:rsid w:val="00CB616E"/>
    <w:rsid w:val="00CB70F0"/>
    <w:rsid w:val="00CC0BAD"/>
    <w:rsid w:val="00CC2722"/>
    <w:rsid w:val="00CC2FA7"/>
    <w:rsid w:val="00CC4298"/>
    <w:rsid w:val="00CC5305"/>
    <w:rsid w:val="00CD057A"/>
    <w:rsid w:val="00CD17F0"/>
    <w:rsid w:val="00CD1F72"/>
    <w:rsid w:val="00CD3599"/>
    <w:rsid w:val="00CD447F"/>
    <w:rsid w:val="00CD46BE"/>
    <w:rsid w:val="00CD493A"/>
    <w:rsid w:val="00CD529A"/>
    <w:rsid w:val="00CD59E2"/>
    <w:rsid w:val="00CD682C"/>
    <w:rsid w:val="00CD703D"/>
    <w:rsid w:val="00CD7E56"/>
    <w:rsid w:val="00CE515E"/>
    <w:rsid w:val="00CE53F6"/>
    <w:rsid w:val="00CE601D"/>
    <w:rsid w:val="00CE6E4C"/>
    <w:rsid w:val="00CE7502"/>
    <w:rsid w:val="00CF2039"/>
    <w:rsid w:val="00CF4106"/>
    <w:rsid w:val="00CF4638"/>
    <w:rsid w:val="00CF5150"/>
    <w:rsid w:val="00CF5ADB"/>
    <w:rsid w:val="00CF71AD"/>
    <w:rsid w:val="00D01A5C"/>
    <w:rsid w:val="00D01D50"/>
    <w:rsid w:val="00D02ACA"/>
    <w:rsid w:val="00D02C9F"/>
    <w:rsid w:val="00D044BA"/>
    <w:rsid w:val="00D10109"/>
    <w:rsid w:val="00D12498"/>
    <w:rsid w:val="00D13FA1"/>
    <w:rsid w:val="00D140FA"/>
    <w:rsid w:val="00D14766"/>
    <w:rsid w:val="00D1484E"/>
    <w:rsid w:val="00D15129"/>
    <w:rsid w:val="00D1519D"/>
    <w:rsid w:val="00D15782"/>
    <w:rsid w:val="00D15FB2"/>
    <w:rsid w:val="00D20BC5"/>
    <w:rsid w:val="00D232AE"/>
    <w:rsid w:val="00D301F1"/>
    <w:rsid w:val="00D30B6E"/>
    <w:rsid w:val="00D318BF"/>
    <w:rsid w:val="00D31984"/>
    <w:rsid w:val="00D31E7A"/>
    <w:rsid w:val="00D323AF"/>
    <w:rsid w:val="00D326EA"/>
    <w:rsid w:val="00D34C5A"/>
    <w:rsid w:val="00D408D1"/>
    <w:rsid w:val="00D41D1E"/>
    <w:rsid w:val="00D42618"/>
    <w:rsid w:val="00D432C6"/>
    <w:rsid w:val="00D439B9"/>
    <w:rsid w:val="00D44357"/>
    <w:rsid w:val="00D449BC"/>
    <w:rsid w:val="00D4511C"/>
    <w:rsid w:val="00D45D00"/>
    <w:rsid w:val="00D47557"/>
    <w:rsid w:val="00D5069C"/>
    <w:rsid w:val="00D507D2"/>
    <w:rsid w:val="00D50C2F"/>
    <w:rsid w:val="00D51F1B"/>
    <w:rsid w:val="00D54704"/>
    <w:rsid w:val="00D57B26"/>
    <w:rsid w:val="00D57C13"/>
    <w:rsid w:val="00D61029"/>
    <w:rsid w:val="00D612B2"/>
    <w:rsid w:val="00D63004"/>
    <w:rsid w:val="00D63C57"/>
    <w:rsid w:val="00D64284"/>
    <w:rsid w:val="00D650EE"/>
    <w:rsid w:val="00D65872"/>
    <w:rsid w:val="00D65DA8"/>
    <w:rsid w:val="00D66123"/>
    <w:rsid w:val="00D718D5"/>
    <w:rsid w:val="00D71B4C"/>
    <w:rsid w:val="00D728DD"/>
    <w:rsid w:val="00D740B8"/>
    <w:rsid w:val="00D76785"/>
    <w:rsid w:val="00D778C5"/>
    <w:rsid w:val="00D77B0A"/>
    <w:rsid w:val="00D805D6"/>
    <w:rsid w:val="00D80ABD"/>
    <w:rsid w:val="00D81680"/>
    <w:rsid w:val="00D818E8"/>
    <w:rsid w:val="00D8195B"/>
    <w:rsid w:val="00D82054"/>
    <w:rsid w:val="00D83C8D"/>
    <w:rsid w:val="00D8405E"/>
    <w:rsid w:val="00D8578B"/>
    <w:rsid w:val="00D87833"/>
    <w:rsid w:val="00D87C59"/>
    <w:rsid w:val="00D9124E"/>
    <w:rsid w:val="00D91892"/>
    <w:rsid w:val="00D932B1"/>
    <w:rsid w:val="00D93404"/>
    <w:rsid w:val="00D944A9"/>
    <w:rsid w:val="00D96627"/>
    <w:rsid w:val="00D96952"/>
    <w:rsid w:val="00DA1F47"/>
    <w:rsid w:val="00DA3BE0"/>
    <w:rsid w:val="00DA3CCF"/>
    <w:rsid w:val="00DA4CFA"/>
    <w:rsid w:val="00DA51BB"/>
    <w:rsid w:val="00DB1FE9"/>
    <w:rsid w:val="00DB3ABC"/>
    <w:rsid w:val="00DB5454"/>
    <w:rsid w:val="00DB5C26"/>
    <w:rsid w:val="00DB65C7"/>
    <w:rsid w:val="00DB7859"/>
    <w:rsid w:val="00DC47B1"/>
    <w:rsid w:val="00DC49B4"/>
    <w:rsid w:val="00DC6665"/>
    <w:rsid w:val="00DC6F20"/>
    <w:rsid w:val="00DC7D12"/>
    <w:rsid w:val="00DD0374"/>
    <w:rsid w:val="00DD35FF"/>
    <w:rsid w:val="00DD50B1"/>
    <w:rsid w:val="00DD5FE7"/>
    <w:rsid w:val="00DD63F6"/>
    <w:rsid w:val="00DE020A"/>
    <w:rsid w:val="00DE112F"/>
    <w:rsid w:val="00DE16BC"/>
    <w:rsid w:val="00DE30C8"/>
    <w:rsid w:val="00DE5FA5"/>
    <w:rsid w:val="00DE6BAD"/>
    <w:rsid w:val="00DE7354"/>
    <w:rsid w:val="00DE7852"/>
    <w:rsid w:val="00DF025B"/>
    <w:rsid w:val="00DF0BC0"/>
    <w:rsid w:val="00DF1372"/>
    <w:rsid w:val="00DF4C91"/>
    <w:rsid w:val="00DF5339"/>
    <w:rsid w:val="00DF5AE1"/>
    <w:rsid w:val="00DF5B94"/>
    <w:rsid w:val="00DF6D93"/>
    <w:rsid w:val="00E009B8"/>
    <w:rsid w:val="00E0197D"/>
    <w:rsid w:val="00E025C0"/>
    <w:rsid w:val="00E02913"/>
    <w:rsid w:val="00E031B4"/>
    <w:rsid w:val="00E037D2"/>
    <w:rsid w:val="00E052EF"/>
    <w:rsid w:val="00E0570F"/>
    <w:rsid w:val="00E06665"/>
    <w:rsid w:val="00E10CCB"/>
    <w:rsid w:val="00E11E0A"/>
    <w:rsid w:val="00E12310"/>
    <w:rsid w:val="00E134B3"/>
    <w:rsid w:val="00E13D97"/>
    <w:rsid w:val="00E159DE"/>
    <w:rsid w:val="00E1635D"/>
    <w:rsid w:val="00E1727E"/>
    <w:rsid w:val="00E172DB"/>
    <w:rsid w:val="00E21640"/>
    <w:rsid w:val="00E2427D"/>
    <w:rsid w:val="00E25DA4"/>
    <w:rsid w:val="00E25FA9"/>
    <w:rsid w:val="00E26BB5"/>
    <w:rsid w:val="00E26D08"/>
    <w:rsid w:val="00E3054C"/>
    <w:rsid w:val="00E30ACA"/>
    <w:rsid w:val="00E33C42"/>
    <w:rsid w:val="00E37E52"/>
    <w:rsid w:val="00E41388"/>
    <w:rsid w:val="00E4199E"/>
    <w:rsid w:val="00E438AF"/>
    <w:rsid w:val="00E445A4"/>
    <w:rsid w:val="00E44AB6"/>
    <w:rsid w:val="00E469C2"/>
    <w:rsid w:val="00E46C2E"/>
    <w:rsid w:val="00E5140B"/>
    <w:rsid w:val="00E52F19"/>
    <w:rsid w:val="00E60F4B"/>
    <w:rsid w:val="00E63717"/>
    <w:rsid w:val="00E64943"/>
    <w:rsid w:val="00E65C83"/>
    <w:rsid w:val="00E71D2F"/>
    <w:rsid w:val="00E71E21"/>
    <w:rsid w:val="00E73938"/>
    <w:rsid w:val="00E748E6"/>
    <w:rsid w:val="00E74936"/>
    <w:rsid w:val="00E7527D"/>
    <w:rsid w:val="00E80AB0"/>
    <w:rsid w:val="00E8147F"/>
    <w:rsid w:val="00E82606"/>
    <w:rsid w:val="00E83236"/>
    <w:rsid w:val="00E83F54"/>
    <w:rsid w:val="00E84C16"/>
    <w:rsid w:val="00E8540B"/>
    <w:rsid w:val="00E85CB0"/>
    <w:rsid w:val="00E86447"/>
    <w:rsid w:val="00E91FB9"/>
    <w:rsid w:val="00E925F2"/>
    <w:rsid w:val="00E95A6E"/>
    <w:rsid w:val="00E977D9"/>
    <w:rsid w:val="00E97F01"/>
    <w:rsid w:val="00EA03FC"/>
    <w:rsid w:val="00EA33A4"/>
    <w:rsid w:val="00EA644D"/>
    <w:rsid w:val="00EA6F25"/>
    <w:rsid w:val="00EA7A1F"/>
    <w:rsid w:val="00EA7ED1"/>
    <w:rsid w:val="00EB03BA"/>
    <w:rsid w:val="00EB1AA2"/>
    <w:rsid w:val="00EB2852"/>
    <w:rsid w:val="00EB2886"/>
    <w:rsid w:val="00EB2A1A"/>
    <w:rsid w:val="00EB2F91"/>
    <w:rsid w:val="00EB621A"/>
    <w:rsid w:val="00EB705F"/>
    <w:rsid w:val="00EB70DA"/>
    <w:rsid w:val="00EB72EC"/>
    <w:rsid w:val="00EC001E"/>
    <w:rsid w:val="00EC5DE8"/>
    <w:rsid w:val="00ED06FA"/>
    <w:rsid w:val="00ED0C35"/>
    <w:rsid w:val="00ED0F36"/>
    <w:rsid w:val="00ED13B7"/>
    <w:rsid w:val="00ED2D48"/>
    <w:rsid w:val="00ED4119"/>
    <w:rsid w:val="00ED5EF4"/>
    <w:rsid w:val="00EE0065"/>
    <w:rsid w:val="00EE0734"/>
    <w:rsid w:val="00EE08EC"/>
    <w:rsid w:val="00EE10FC"/>
    <w:rsid w:val="00EE1C48"/>
    <w:rsid w:val="00EE2372"/>
    <w:rsid w:val="00EE2510"/>
    <w:rsid w:val="00EE3DBE"/>
    <w:rsid w:val="00EE54D6"/>
    <w:rsid w:val="00EE6379"/>
    <w:rsid w:val="00EE7723"/>
    <w:rsid w:val="00EF059C"/>
    <w:rsid w:val="00EF26FB"/>
    <w:rsid w:val="00EF2CCC"/>
    <w:rsid w:val="00EF34EB"/>
    <w:rsid w:val="00EF3663"/>
    <w:rsid w:val="00EF4F84"/>
    <w:rsid w:val="00EF53DD"/>
    <w:rsid w:val="00EF6414"/>
    <w:rsid w:val="00EF66F5"/>
    <w:rsid w:val="00F03019"/>
    <w:rsid w:val="00F030F8"/>
    <w:rsid w:val="00F0459F"/>
    <w:rsid w:val="00F04A6C"/>
    <w:rsid w:val="00F07807"/>
    <w:rsid w:val="00F105CF"/>
    <w:rsid w:val="00F1220B"/>
    <w:rsid w:val="00F1265F"/>
    <w:rsid w:val="00F135F7"/>
    <w:rsid w:val="00F16C1D"/>
    <w:rsid w:val="00F16CBD"/>
    <w:rsid w:val="00F2221B"/>
    <w:rsid w:val="00F22A70"/>
    <w:rsid w:val="00F22ACE"/>
    <w:rsid w:val="00F24088"/>
    <w:rsid w:val="00F25AB5"/>
    <w:rsid w:val="00F2621E"/>
    <w:rsid w:val="00F262F4"/>
    <w:rsid w:val="00F3033F"/>
    <w:rsid w:val="00F30693"/>
    <w:rsid w:val="00F30717"/>
    <w:rsid w:val="00F30B49"/>
    <w:rsid w:val="00F31DA4"/>
    <w:rsid w:val="00F34617"/>
    <w:rsid w:val="00F34859"/>
    <w:rsid w:val="00F3526E"/>
    <w:rsid w:val="00F35C45"/>
    <w:rsid w:val="00F3767C"/>
    <w:rsid w:val="00F40AD7"/>
    <w:rsid w:val="00F414CC"/>
    <w:rsid w:val="00F44B78"/>
    <w:rsid w:val="00F44E20"/>
    <w:rsid w:val="00F45201"/>
    <w:rsid w:val="00F45F2F"/>
    <w:rsid w:val="00F5190A"/>
    <w:rsid w:val="00F51DA5"/>
    <w:rsid w:val="00F531CE"/>
    <w:rsid w:val="00F54C32"/>
    <w:rsid w:val="00F556EE"/>
    <w:rsid w:val="00F61BC5"/>
    <w:rsid w:val="00F64FCA"/>
    <w:rsid w:val="00F66DB0"/>
    <w:rsid w:val="00F6758E"/>
    <w:rsid w:val="00F708D2"/>
    <w:rsid w:val="00F71CBF"/>
    <w:rsid w:val="00F72A8D"/>
    <w:rsid w:val="00F73152"/>
    <w:rsid w:val="00F76026"/>
    <w:rsid w:val="00F7647E"/>
    <w:rsid w:val="00F76532"/>
    <w:rsid w:val="00F80D49"/>
    <w:rsid w:val="00F8166B"/>
    <w:rsid w:val="00F81FB3"/>
    <w:rsid w:val="00F83242"/>
    <w:rsid w:val="00F8324A"/>
    <w:rsid w:val="00F85BE4"/>
    <w:rsid w:val="00F87185"/>
    <w:rsid w:val="00F8745E"/>
    <w:rsid w:val="00F874E7"/>
    <w:rsid w:val="00F904F9"/>
    <w:rsid w:val="00F91846"/>
    <w:rsid w:val="00F91AAE"/>
    <w:rsid w:val="00F93A62"/>
    <w:rsid w:val="00F962B4"/>
    <w:rsid w:val="00F97357"/>
    <w:rsid w:val="00F97C42"/>
    <w:rsid w:val="00FA1AE6"/>
    <w:rsid w:val="00FA248A"/>
    <w:rsid w:val="00FA5560"/>
    <w:rsid w:val="00FA64F4"/>
    <w:rsid w:val="00FB0719"/>
    <w:rsid w:val="00FB0AEB"/>
    <w:rsid w:val="00FB28E8"/>
    <w:rsid w:val="00FB5BD0"/>
    <w:rsid w:val="00FB5ED1"/>
    <w:rsid w:val="00FB68A8"/>
    <w:rsid w:val="00FB68B4"/>
    <w:rsid w:val="00FB6CFD"/>
    <w:rsid w:val="00FB7249"/>
    <w:rsid w:val="00FC12AE"/>
    <w:rsid w:val="00FC7B3B"/>
    <w:rsid w:val="00FD06EA"/>
    <w:rsid w:val="00FD0B9A"/>
    <w:rsid w:val="00FD1C29"/>
    <w:rsid w:val="00FD274F"/>
    <w:rsid w:val="00FD3E65"/>
    <w:rsid w:val="00FD653F"/>
    <w:rsid w:val="00FD7178"/>
    <w:rsid w:val="00FE061D"/>
    <w:rsid w:val="00FE1A01"/>
    <w:rsid w:val="00FE2618"/>
    <w:rsid w:val="00FE3805"/>
    <w:rsid w:val="00FE51D2"/>
    <w:rsid w:val="00FE6CCD"/>
    <w:rsid w:val="00FE7389"/>
    <w:rsid w:val="00FF0FE4"/>
    <w:rsid w:val="00FF11CE"/>
    <w:rsid w:val="00FF37C1"/>
    <w:rsid w:val="00FF4CAD"/>
    <w:rsid w:val="00FF6FC0"/>
    <w:rsid w:val="01EC68E8"/>
    <w:rsid w:val="01F3A6CC"/>
    <w:rsid w:val="050EB544"/>
    <w:rsid w:val="06052199"/>
    <w:rsid w:val="067A0B62"/>
    <w:rsid w:val="07C36D8E"/>
    <w:rsid w:val="0964A293"/>
    <w:rsid w:val="099CD299"/>
    <w:rsid w:val="0CC99F34"/>
    <w:rsid w:val="0F392778"/>
    <w:rsid w:val="12CFFF66"/>
    <w:rsid w:val="149C7E57"/>
    <w:rsid w:val="14D0CD5B"/>
    <w:rsid w:val="1513EE95"/>
    <w:rsid w:val="15AB60ED"/>
    <w:rsid w:val="175CBC7F"/>
    <w:rsid w:val="18108D79"/>
    <w:rsid w:val="19687032"/>
    <w:rsid w:val="1E133761"/>
    <w:rsid w:val="1E56BA3E"/>
    <w:rsid w:val="1E8B191B"/>
    <w:rsid w:val="1F263CDF"/>
    <w:rsid w:val="2195CD6A"/>
    <w:rsid w:val="21F6A80B"/>
    <w:rsid w:val="22320F76"/>
    <w:rsid w:val="231F0764"/>
    <w:rsid w:val="249C5A6C"/>
    <w:rsid w:val="2A8ACA18"/>
    <w:rsid w:val="2E339268"/>
    <w:rsid w:val="2F2D372D"/>
    <w:rsid w:val="311B130C"/>
    <w:rsid w:val="35D86AEA"/>
    <w:rsid w:val="3691388C"/>
    <w:rsid w:val="3711BFBE"/>
    <w:rsid w:val="39AADCB1"/>
    <w:rsid w:val="3B62A380"/>
    <w:rsid w:val="3C996429"/>
    <w:rsid w:val="3DF9BEB8"/>
    <w:rsid w:val="3DFC5F52"/>
    <w:rsid w:val="3FDDD2B0"/>
    <w:rsid w:val="4639FE46"/>
    <w:rsid w:val="470D64D4"/>
    <w:rsid w:val="474AB0D4"/>
    <w:rsid w:val="49674AD3"/>
    <w:rsid w:val="49781E2E"/>
    <w:rsid w:val="4AB2A4D5"/>
    <w:rsid w:val="4CDAB273"/>
    <w:rsid w:val="4F034CFB"/>
    <w:rsid w:val="5062D964"/>
    <w:rsid w:val="51DF3D64"/>
    <w:rsid w:val="52FDC45D"/>
    <w:rsid w:val="539A1EC5"/>
    <w:rsid w:val="54A36AB4"/>
    <w:rsid w:val="55961CF2"/>
    <w:rsid w:val="5656CFDB"/>
    <w:rsid w:val="5BAA6753"/>
    <w:rsid w:val="5BE0F411"/>
    <w:rsid w:val="5C9A6175"/>
    <w:rsid w:val="5E892C17"/>
    <w:rsid w:val="5FEB7A30"/>
    <w:rsid w:val="61049E2B"/>
    <w:rsid w:val="614DCAA3"/>
    <w:rsid w:val="61C55114"/>
    <w:rsid w:val="61C5F79C"/>
    <w:rsid w:val="622B1405"/>
    <w:rsid w:val="6346DC4C"/>
    <w:rsid w:val="63F903D1"/>
    <w:rsid w:val="643BA775"/>
    <w:rsid w:val="64D59027"/>
    <w:rsid w:val="652F4529"/>
    <w:rsid w:val="6671F2D4"/>
    <w:rsid w:val="676D6880"/>
    <w:rsid w:val="69EE9A4B"/>
    <w:rsid w:val="6BCCD85E"/>
    <w:rsid w:val="6C44D48B"/>
    <w:rsid w:val="6CBA55F8"/>
    <w:rsid w:val="6CBCD280"/>
    <w:rsid w:val="6D324A49"/>
    <w:rsid w:val="6D6DD6E5"/>
    <w:rsid w:val="6DA4D7C7"/>
    <w:rsid w:val="6FCA81DA"/>
    <w:rsid w:val="715F26CF"/>
    <w:rsid w:val="7330D8F4"/>
    <w:rsid w:val="73AA7B04"/>
    <w:rsid w:val="76421CAD"/>
    <w:rsid w:val="7863EA3C"/>
    <w:rsid w:val="7893D79C"/>
    <w:rsid w:val="798B13E9"/>
    <w:rsid w:val="7E08DB2A"/>
    <w:rsid w:val="7E61064D"/>
    <w:rsid w:val="7FEB45A5"/>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AA8AFC"/>
  <w15:chartTrackingRefBased/>
  <w15:docId w15:val="{AFFBBAA6-6C23-4D86-B356-0E3D0203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2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4E26E9"/>
    <w:pPr>
      <w:ind w:left="720"/>
      <w:contextualSpacing/>
    </w:p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4E26E9"/>
  </w:style>
  <w:style w:type="paragraph" w:styleId="Header">
    <w:name w:val="header"/>
    <w:basedOn w:val="Normal"/>
    <w:link w:val="HeaderChar"/>
    <w:uiPriority w:val="99"/>
    <w:unhideWhenUsed/>
    <w:rsid w:val="00A65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6AE"/>
  </w:style>
  <w:style w:type="paragraph" w:styleId="Footer">
    <w:name w:val="footer"/>
    <w:basedOn w:val="Normal"/>
    <w:link w:val="FooterChar"/>
    <w:uiPriority w:val="99"/>
    <w:unhideWhenUsed/>
    <w:rsid w:val="00A65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6AE"/>
  </w:style>
  <w:style w:type="character" w:styleId="CommentReference">
    <w:name w:val="annotation reference"/>
    <w:basedOn w:val="DefaultParagraphFont"/>
    <w:semiHidden/>
    <w:unhideWhenUsed/>
    <w:rsid w:val="00B361BA"/>
    <w:rPr>
      <w:sz w:val="16"/>
      <w:szCs w:val="16"/>
    </w:rPr>
  </w:style>
  <w:style w:type="paragraph" w:styleId="CommentText">
    <w:name w:val="annotation text"/>
    <w:basedOn w:val="Normal"/>
    <w:link w:val="CommentTextChar"/>
    <w:uiPriority w:val="99"/>
    <w:unhideWhenUsed/>
    <w:rsid w:val="00B361BA"/>
    <w:pPr>
      <w:spacing w:line="240" w:lineRule="auto"/>
    </w:pPr>
    <w:rPr>
      <w:sz w:val="20"/>
      <w:szCs w:val="20"/>
    </w:rPr>
  </w:style>
  <w:style w:type="character" w:customStyle="1" w:styleId="CommentTextChar">
    <w:name w:val="Comment Text Char"/>
    <w:basedOn w:val="DefaultParagraphFont"/>
    <w:link w:val="CommentText"/>
    <w:uiPriority w:val="99"/>
    <w:rsid w:val="00B361BA"/>
    <w:rPr>
      <w:sz w:val="20"/>
      <w:szCs w:val="20"/>
    </w:rPr>
  </w:style>
  <w:style w:type="paragraph" w:styleId="CommentSubject">
    <w:name w:val="annotation subject"/>
    <w:basedOn w:val="CommentText"/>
    <w:next w:val="CommentText"/>
    <w:link w:val="CommentSubjectChar"/>
    <w:uiPriority w:val="99"/>
    <w:semiHidden/>
    <w:unhideWhenUsed/>
    <w:rsid w:val="00355084"/>
    <w:rPr>
      <w:b/>
      <w:bCs/>
    </w:rPr>
  </w:style>
  <w:style w:type="character" w:customStyle="1" w:styleId="CommentSubjectChar">
    <w:name w:val="Comment Subject Char"/>
    <w:basedOn w:val="CommentTextChar"/>
    <w:link w:val="CommentSubject"/>
    <w:uiPriority w:val="99"/>
    <w:semiHidden/>
    <w:rsid w:val="00355084"/>
    <w:rPr>
      <w:b/>
      <w:bCs/>
      <w:sz w:val="20"/>
      <w:szCs w:val="20"/>
    </w:rPr>
  </w:style>
  <w:style w:type="paragraph" w:styleId="Revision">
    <w:name w:val="Revision"/>
    <w:hidden/>
    <w:uiPriority w:val="99"/>
    <w:semiHidden/>
    <w:rsid w:val="00234928"/>
    <w:pPr>
      <w:spacing w:after="0" w:line="240" w:lineRule="auto"/>
    </w:pPr>
  </w:style>
  <w:style w:type="character" w:styleId="Hyperlink">
    <w:name w:val="Hyperlink"/>
    <w:basedOn w:val="DefaultParagraphFont"/>
    <w:uiPriority w:val="99"/>
    <w:unhideWhenUsed/>
    <w:rsid w:val="004F1C6F"/>
    <w:rPr>
      <w:color w:val="0563C1" w:themeColor="hyperlink"/>
      <w:u w:val="single"/>
    </w:rPr>
  </w:style>
  <w:style w:type="character" w:styleId="UnresolvedMention">
    <w:name w:val="Unresolved Mention"/>
    <w:basedOn w:val="DefaultParagraphFont"/>
    <w:uiPriority w:val="99"/>
    <w:semiHidden/>
    <w:unhideWhenUsed/>
    <w:rsid w:val="004F1C6F"/>
    <w:rPr>
      <w:color w:val="605E5C"/>
      <w:shd w:val="clear" w:color="auto" w:fill="E1DFDD"/>
    </w:rPr>
  </w:style>
  <w:style w:type="paragraph" w:styleId="NormalWeb">
    <w:name w:val="Normal (Web)"/>
    <w:basedOn w:val="Normal"/>
    <w:uiPriority w:val="99"/>
    <w:semiHidden/>
    <w:unhideWhenUsed/>
    <w:rsid w:val="00640041"/>
    <w:pPr>
      <w:spacing w:before="100" w:beforeAutospacing="1" w:after="100" w:afterAutospacing="1" w:line="240" w:lineRule="auto"/>
    </w:pPr>
    <w:rPr>
      <w:rFonts w:ascii="Calibri" w:hAnsi="Calibri" w:cs="Calibri"/>
      <w:lang w:eastAsia="en-NZ"/>
    </w:rPr>
  </w:style>
  <w:style w:type="paragraph" w:customStyle="1" w:styleId="xmsonormal">
    <w:name w:val="x_msonormal"/>
    <w:basedOn w:val="Normal"/>
    <w:uiPriority w:val="99"/>
    <w:semiHidden/>
    <w:rsid w:val="00640041"/>
    <w:pPr>
      <w:spacing w:after="0" w:line="240" w:lineRule="auto"/>
    </w:pPr>
    <w:rPr>
      <w:rFonts w:ascii="Calibri" w:hAnsi="Calibri" w:cs="Calibri"/>
      <w:lang w:eastAsia="en-NZ"/>
    </w:rPr>
  </w:style>
  <w:style w:type="character" w:styleId="Mention">
    <w:name w:val="Mention"/>
    <w:basedOn w:val="DefaultParagraphFont"/>
    <w:uiPriority w:val="99"/>
    <w:unhideWhenUsed/>
    <w:rsid w:val="003C4CA3"/>
    <w:rPr>
      <w:color w:val="2B579A"/>
      <w:shd w:val="clear" w:color="auto" w:fill="E6E6E6"/>
    </w:rPr>
  </w:style>
  <w:style w:type="paragraph" w:styleId="FootnoteText">
    <w:name w:val="footnote text"/>
    <w:basedOn w:val="Normal"/>
    <w:link w:val="FootnoteTextChar"/>
    <w:uiPriority w:val="99"/>
    <w:semiHidden/>
    <w:unhideWhenUsed/>
    <w:rsid w:val="001509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974"/>
    <w:rPr>
      <w:sz w:val="20"/>
      <w:szCs w:val="20"/>
    </w:rPr>
  </w:style>
  <w:style w:type="character" w:styleId="FootnoteReference">
    <w:name w:val="footnote reference"/>
    <w:basedOn w:val="DefaultParagraphFont"/>
    <w:uiPriority w:val="99"/>
    <w:semiHidden/>
    <w:unhideWhenUsed/>
    <w:rsid w:val="00150974"/>
    <w:rPr>
      <w:vertAlign w:val="superscript"/>
    </w:rPr>
  </w:style>
  <w:style w:type="character" w:styleId="FollowedHyperlink">
    <w:name w:val="FollowedHyperlink"/>
    <w:basedOn w:val="DefaultParagraphFont"/>
    <w:uiPriority w:val="99"/>
    <w:semiHidden/>
    <w:unhideWhenUsed/>
    <w:rsid w:val="000E2C07"/>
    <w:rPr>
      <w:color w:val="954F72" w:themeColor="followedHyperlink"/>
      <w:u w:val="single"/>
    </w:rPr>
  </w:style>
  <w:style w:type="paragraph" w:customStyle="1" w:styleId="TRBodyText">
    <w:name w:val="_TRBody Text"/>
    <w:rsid w:val="00982B39"/>
    <w:pPr>
      <w:spacing w:after="0" w:line="240" w:lineRule="auto"/>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8695">
      <w:bodyDiv w:val="1"/>
      <w:marLeft w:val="0"/>
      <w:marRight w:val="0"/>
      <w:marTop w:val="0"/>
      <w:marBottom w:val="0"/>
      <w:divBdr>
        <w:top w:val="none" w:sz="0" w:space="0" w:color="auto"/>
        <w:left w:val="none" w:sz="0" w:space="0" w:color="auto"/>
        <w:bottom w:val="none" w:sz="0" w:space="0" w:color="auto"/>
        <w:right w:val="none" w:sz="0" w:space="0" w:color="auto"/>
      </w:divBdr>
    </w:div>
    <w:div w:id="248123375">
      <w:bodyDiv w:val="1"/>
      <w:marLeft w:val="0"/>
      <w:marRight w:val="0"/>
      <w:marTop w:val="0"/>
      <w:marBottom w:val="0"/>
      <w:divBdr>
        <w:top w:val="none" w:sz="0" w:space="0" w:color="auto"/>
        <w:left w:val="none" w:sz="0" w:space="0" w:color="auto"/>
        <w:bottom w:val="none" w:sz="0" w:space="0" w:color="auto"/>
        <w:right w:val="none" w:sz="0" w:space="0" w:color="auto"/>
      </w:divBdr>
    </w:div>
    <w:div w:id="562713094">
      <w:bodyDiv w:val="1"/>
      <w:marLeft w:val="0"/>
      <w:marRight w:val="0"/>
      <w:marTop w:val="0"/>
      <w:marBottom w:val="0"/>
      <w:divBdr>
        <w:top w:val="none" w:sz="0" w:space="0" w:color="auto"/>
        <w:left w:val="none" w:sz="0" w:space="0" w:color="auto"/>
        <w:bottom w:val="none" w:sz="0" w:space="0" w:color="auto"/>
        <w:right w:val="none" w:sz="0" w:space="0" w:color="auto"/>
      </w:divBdr>
    </w:div>
    <w:div w:id="856966014">
      <w:bodyDiv w:val="1"/>
      <w:marLeft w:val="0"/>
      <w:marRight w:val="0"/>
      <w:marTop w:val="0"/>
      <w:marBottom w:val="0"/>
      <w:divBdr>
        <w:top w:val="none" w:sz="0" w:space="0" w:color="auto"/>
        <w:left w:val="none" w:sz="0" w:space="0" w:color="auto"/>
        <w:bottom w:val="none" w:sz="0" w:space="0" w:color="auto"/>
        <w:right w:val="none" w:sz="0" w:space="0" w:color="auto"/>
      </w:divBdr>
    </w:div>
    <w:div w:id="1034891193">
      <w:bodyDiv w:val="1"/>
      <w:marLeft w:val="0"/>
      <w:marRight w:val="0"/>
      <w:marTop w:val="0"/>
      <w:marBottom w:val="0"/>
      <w:divBdr>
        <w:top w:val="none" w:sz="0" w:space="0" w:color="auto"/>
        <w:left w:val="none" w:sz="0" w:space="0" w:color="auto"/>
        <w:bottom w:val="none" w:sz="0" w:space="0" w:color="auto"/>
        <w:right w:val="none" w:sz="0" w:space="0" w:color="auto"/>
      </w:divBdr>
    </w:div>
    <w:div w:id="1104615521">
      <w:bodyDiv w:val="1"/>
      <w:marLeft w:val="0"/>
      <w:marRight w:val="0"/>
      <w:marTop w:val="0"/>
      <w:marBottom w:val="0"/>
      <w:divBdr>
        <w:top w:val="none" w:sz="0" w:space="0" w:color="auto"/>
        <w:left w:val="none" w:sz="0" w:space="0" w:color="auto"/>
        <w:bottom w:val="none" w:sz="0" w:space="0" w:color="auto"/>
        <w:right w:val="none" w:sz="0" w:space="0" w:color="auto"/>
      </w:divBdr>
    </w:div>
    <w:div w:id="1291017516">
      <w:bodyDiv w:val="1"/>
      <w:marLeft w:val="0"/>
      <w:marRight w:val="0"/>
      <w:marTop w:val="0"/>
      <w:marBottom w:val="0"/>
      <w:divBdr>
        <w:top w:val="none" w:sz="0" w:space="0" w:color="auto"/>
        <w:left w:val="none" w:sz="0" w:space="0" w:color="auto"/>
        <w:bottom w:val="none" w:sz="0" w:space="0" w:color="auto"/>
        <w:right w:val="none" w:sz="0" w:space="0" w:color="auto"/>
      </w:divBdr>
    </w:div>
    <w:div w:id="163651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ovt.nz/covid-19/covid-19-protection-framework/" TargetMode="External"/><Relationship Id="rId13" Type="http://schemas.openxmlformats.org/officeDocument/2006/relationships/hyperlink" Target="https://temahau.govt.nz/covid-19/advice-tertiary-providers-international-students/resources-tertiary-education-provid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zqa.govt.nz/providers-partners/tertiary-and-international-learners-co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vid19.govt.nz/trave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vid19.govt.nz/" TargetMode="External"/><Relationship Id="rId4" Type="http://schemas.openxmlformats.org/officeDocument/2006/relationships/settings" Target="settings.xml"/><Relationship Id="rId9" Type="http://schemas.openxmlformats.org/officeDocument/2006/relationships/hyperlink" Target="https://covid19.govt.n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s://bulletins.education.govt.nz/" TargetMode="External"/><Relationship Id="rId1" Type="http://schemas.openxmlformats.org/officeDocument/2006/relationships/hyperlink" Target="https://temahau.govt.nz/covid-19/advice-tertiary-providers-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1A9A7-3B3C-4BAA-9A11-02210BA1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2022-04-08T03:18:00Z</dcterms:created>
  <dcterms:modified xsi:type="dcterms:W3CDTF">2022-04-12T21:48:00Z</dcterms:modified>
</cp:coreProperties>
</file>